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2.jpg" ContentType="image/jpeg"/>
  <Override PartName="/word/theme/theme1.xml" ContentType="application/vnd.openxmlformats-officedocument.theme+xml"/>
  <Override PartName="/word/media/image1.jpg" ContentType="image/jpeg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left"/>
        <w:ind/>
        <w:rPr>
          <w:b w:val="0"/>
          <w:sz w:val="28"/>
          <w:bCs w:val="0"/>
          <w:szCs w:val="28"/>
        </w:rPr>
      </w:pPr>
      <w:r>
        <w:rPr>
          <w:b w:val="0"/>
          <w:sz w:val="28"/>
        </w:rPr>
        <w:drawing>
          <wp:inline distT="0" distB="0" distL="0" distR="0">
            <wp:extent cx="3975247" cy="8863330"/>
            <wp:effectExtent l="0" t="0" r="0" b="0"/>
            <wp:docPr id="1" name="图片 2" descr="图示, 示意图&amp;#10;&amp;#10;中度可信度描述已自动生成:ver1"/>
            <wp:cNvGraphicFramePr>
              <a:graphicFrameLocks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1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247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8"/>
        </w:rPr>
        <w:drawing>
          <wp:inline distT="0" distB="0" distL="0" distR="0">
            <wp:extent cx="3975247" cy="8863330"/>
            <wp:effectExtent l="0" t="0" r="0" b="0"/>
            <wp:docPr id="2" name="图片 2" descr="图示, 示意图&amp;#10;&amp;#10;中度可信度描述已自动生成:ver1"/>
            <wp:cNvGraphicFramePr>
              <a:graphicFrameLocks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noChangeAspect="1"/>
            </wp:cNvGraphicFramePr>
            <a:graphic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<a:graphicData uri="http://schemas.openxmlformats.org/drawingml/2006/picture">
                <pic:pic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>
                  <pic:nvPicPr>
                    <pic:cNvPr id="2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5247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1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000000"/>
    <w:rsid w:val="0C731748"/>
    <w:rsid w:val="21AB03C0"/>
    <w:rsid w:val="3419728E"/>
    <w:rsid w:val="6F4011AF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bidi="ar-SA"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Calibri" w:hAnsi="Calibri" w:eastAsia="宋体" w:cs="Arial"/>
    </w:rPr>
  </w:style>
  <w:style w:type="character" w:styleId="3" w:default="1">
    <w:name w:val="Default Paragraph Font"/>
    <w:uiPriority w:val="1"/>
    <w:qFormat/>
  </w:style>
  <w:style w:type="table" w:styleId="2" w:default="1">
    <w:name w:val="Normal Table"/>
    <w:uiPriority w:val="99"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5" Type="http://schemas.openxmlformats.org/officeDocument/2006/relationships/image" Target="media/image2.jpg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34</TotalTime>
  <Pages>4</Pages>
  <Words>1242</Words>
  <Characters>1260</Characters>
  <Application>WPS Office_11.1.0.11744_F1E327BC-269C-435d-A152-05C5408002CA</Application>
  <DocSecurity>0</DocSecurity>
  <Lines>0</Lines>
  <Paragraphs>5</Paragraphs>
  <ScaleCrop>false</ScaleCrop>
  <Company/>
  <LinksUpToDate>false</LinksUpToDate>
  <CharactersWithSpaces>1349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HLK-AL00</dc:creator>
  <cp:keywords/>
  <dc:description/>
  <cp:lastModifiedBy>Administrator</cp:lastModifiedBy>
  <cp:revision>0</cp:revision>
  <dcterms:created xsi:type="dcterms:W3CDTF">2022-07-31T11:15:00Z</dcterms:created>
  <dcterms:modified xsi:type="dcterms:W3CDTF">2024-08-13T00:47:04Z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00972EA1D0E94D0592F0D58D609AF213_13</vt:lpwstr>
  </property>
  <property fmtid="{D5CDD505-2E9C-101B-9397-08002B2CF9AE}" pid="3" name="KSOProductBuildVer">
    <vt:lpwstr>2052-11.1.0.11744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贫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困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明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left"/>
        <w:rPr>
          <w:b w:val="0"/>
          <w:bCs w:val="0"/>
          <w:sz w:val="28"/>
          <w:szCs w:val="28"/>
        </w:rPr>
      </w:pPr>
    </w:p>
    <w:p>
      <w:pPr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兹证明隆昌镇联合村村民张智超、男、蒙古族、身份证号：（15042220060517031x）此生家庭4口人，家庭比较困难，父母亲都是农民，农业是全家的主要经济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来源，收入很低，仅能维持家庭的基础生活。农闲时节靠父母打点零工维持家用。经济十分拮据，希望对该生予以照顾。</w:t>
      </w:r>
    </w:p>
    <w:p>
      <w:pPr>
        <w:ind w:firstLine="1120" w:firstLineChars="400"/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ind w:firstLine="2240" w:firstLineChars="800"/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特此证明</w:t>
      </w:r>
    </w:p>
    <w:p>
      <w:pPr>
        <w:ind w:firstLineChars="200"/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ind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隆昌镇联合村村民委员会</w:t>
      </w:r>
    </w:p>
    <w:p>
      <w:pPr>
        <w:ind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4480" w:firstLineChars="16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   月  日</w:t>
      </w:r>
    </w:p>
    <w:p>
      <w:pPr>
        <w:ind w:firstLine="5040" w:firstLineChars="18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ind w:firstLineChars="20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