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十三号村</w:t>
      </w:r>
      <w:r>
        <w:rPr>
          <w:rFonts w:hint="eastAsia"/>
          <w:b/>
          <w:bCs/>
          <w:sz w:val="48"/>
          <w:szCs w:val="56"/>
          <w:lang w:val="en-US" w:eastAsia="zh-CN"/>
        </w:rPr>
        <w:t>2023年二季度财务公开</w:t>
      </w: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15150"/>
            <wp:effectExtent l="0" t="0" r="10160" b="0"/>
            <wp:docPr id="1" name="图片 1" descr="2季度财务公开近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季度财务公开近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季度财务公开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季度财务公开远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21D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2023-07-27T01:40:20Z</dcterms:created>
  <dc:creator>Administrator</dc:creator>
  <cp:lastModifiedBy>Administrator</cp:lastModifiedBy>
  <dcterms:modified xsi:type="dcterms:W3CDTF">2023-07-27T01:41:58Z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DAB19DFD40314B5BB62F3C4DC7666C97_12</vt:lpwstr>
  </property>
</Properties>
</file>