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花加拉嘎乡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小营子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村产业配套基础实施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建设项目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实施方案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巴林左旗</w:t>
      </w:r>
      <w:r>
        <w:rPr>
          <w:rFonts w:hint="eastAsia" w:ascii="黑体" w:hAnsi="黑体" w:eastAsia="黑体" w:cs="黑体"/>
          <w:sz w:val="32"/>
          <w:szCs w:val="32"/>
        </w:rPr>
        <w:t>花加拉嘎乡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二〇二二年四月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21"/>
          <w:rFonts w:hint="eastAsia"/>
          <w:b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Toc29539"/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1"/>
          <w:rFonts w:hint="eastAsia" w:eastAsia="黑体"/>
          <w:b/>
          <w:lang w:val="en-US" w:eastAsia="zh-CN"/>
        </w:rPr>
      </w:pPr>
      <w:r>
        <w:rPr>
          <w:rStyle w:val="21"/>
          <w:rFonts w:hint="eastAsia" w:eastAsia="黑体"/>
          <w:b/>
          <w:lang w:val="en-US" w:eastAsia="zh-CN"/>
        </w:rPr>
        <w:t>目录</w:t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Style w:val="21"/>
          <w:rFonts w:hint="eastAsia"/>
          <w:b/>
        </w:rPr>
        <w:fldChar w:fldCharType="begin"/>
      </w:r>
      <w:r>
        <w:rPr>
          <w:rStyle w:val="21"/>
          <w:rFonts w:hint="eastAsia"/>
          <w:b/>
        </w:rPr>
        <w:instrText xml:space="preserve">TOC \o "1-1" \t "标题,1,标题 2,1" \h \u </w:instrText>
      </w:r>
      <w:r>
        <w:rPr>
          <w:rStyle w:val="21"/>
          <w:rFonts w:hint="eastAsia"/>
          <w:b/>
        </w:rPr>
        <w:fldChar w:fldCharType="separate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_Toc24427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第一章总论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_Toc24427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_Toc25499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 项目概况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_Toc25499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_Toc13427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1.1.2 建设单位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_Toc13427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_Toc15522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1.1.3 建设地点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_Toc15522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_Toc15133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1.1.4 建设内容与规模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_Toc15133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_Toc9477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1.1.5 项目投资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_Toc9477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_Toc30707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1.1.6 实施进度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_Toc30707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2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_Toc19236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第二章 项目背景与建设的必要性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_Toc19236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2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_Toc13262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2.1 项目背景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_Toc13262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2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_Toc16522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2.2 项目建设的必要性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_Toc16522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3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_Toc15833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第三章 场址选择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_Toc15833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3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_Toc13400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3.1 建设地点选择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_Toc13400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3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_Toc15047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3.2 建设条件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_Toc15047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3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_Toc2595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3.2.1 自然条件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_Toc2595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3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_Toc21192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3.2.2社会经济状况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_Toc21192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4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_Toc30878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3.2.3 交通运输条件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_Toc30878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5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_Toc23543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第四章 建设方案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_Toc23543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5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_Toc30415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4.1 建设内容和规模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_Toc30415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5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_Toc19794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4.2 防护工程设计方案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_Toc19794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5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_Toc13207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第五章 节能节水措施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_Toc13207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6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_Toc26250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5.1 设计依据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_Toc26250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6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zh-CN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_Toc29402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5.2 节能方案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_Toc29402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6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_Toc6947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5.3 节能措施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_Toc6947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6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_Toc17546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第六章 环境影响评价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_Toc17546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7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_Toc17546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6.1 项目场址环境现状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_Toc17546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7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_Toc957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6.2 项目建设与运营对环境的影响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_Toc957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7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_Toc27999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6.2.1 施工期环境影响分析及对应措施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_Toc27999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7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_Toc28284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6.2.2 营运期环境影响分析及对应措施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_Toc28284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8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_Toc22023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第七章 工程管理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_Toc22023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8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_Toc12272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7.1 项目建设期管理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_Toc12272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9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_Toc15628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7.1.1 组织管理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_Toc15628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9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_Toc8164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7.1.2 建设管理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_Toc8164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9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_Toc2250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7.1.3 资金管理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_Toc2250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10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_Toc18940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7.2 项目实施进度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_Toc18940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10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_Toc16933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第八章 投资估算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_Toc16933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10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_Toc22554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8.1 工程概况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_Toc22554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10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_Toc17889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8.2 编制依据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_Toc17889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10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_Toc11464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8.3 建筑材料价格计取依据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_Toc11464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_Toc27083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8.4 投资估算内容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_Toc27083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_Toc5709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8.5 投资估算及资金来源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_Toc5709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11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instrText xml:space="preserve"> HYPERLINK \l _Toc31762 </w:instrText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separate"/>
      </w:r>
      <w:r>
        <w:rPr>
          <w:rFonts w:hint="eastAsia" w:eastAsia="黑体" w:asciiTheme="minorAscii" w:hAnsiTheme="minorAscii" w:cstheme="minorBidi"/>
          <w:kern w:val="44"/>
          <w:szCs w:val="24"/>
          <w:lang w:val="en-US" w:eastAsia="zh-CN" w:bidi="ar-SA"/>
        </w:rPr>
        <w:t>第九章 效益分析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ab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begin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instrText xml:space="preserve"> PAGEREF _Toc31762 </w:instrTex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separate"/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t>12</w:t>
      </w:r>
      <w:r>
        <w:rPr>
          <w:rFonts w:eastAsia="黑体" w:asciiTheme="minorAscii" w:hAnsiTheme="minorAscii" w:cstheme="minorBidi"/>
          <w:kern w:val="44"/>
          <w:szCs w:val="24"/>
          <w:lang w:val="en-US" w:eastAsia="zh-CN" w:bidi="ar-SA"/>
        </w:rPr>
        <w:fldChar w:fldCharType="end"/>
      </w: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1"/>
          <w:rFonts w:hint="eastAsia"/>
          <w:b/>
        </w:rPr>
      </w:pPr>
      <w:r>
        <w:rPr>
          <w:rFonts w:hint="eastAsia" w:ascii="Cambria" w:hAnsi="Cambria" w:eastAsia="黑体" w:cstheme="minorBidi"/>
          <w:bCs/>
          <w:kern w:val="0"/>
          <w:szCs w:val="32"/>
          <w:lang w:val="en-US" w:eastAsia="zh-CN" w:bidi="ar-SA"/>
        </w:rPr>
        <w:fldChar w:fldCharType="end"/>
      </w:r>
      <w:bookmarkStart w:id="1" w:name="_Toc24427"/>
      <w:r>
        <w:rPr>
          <w:rStyle w:val="21"/>
          <w:rFonts w:hint="eastAsia"/>
          <w:b/>
        </w:rPr>
        <w:t>第一章总论</w:t>
      </w:r>
      <w:bookmarkEnd w:id="0"/>
      <w:bookmarkEnd w:id="1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" w:name="_Toc32722"/>
      <w:bookmarkStart w:id="3" w:name="_Toc25499"/>
      <w:r>
        <w:rPr>
          <w:rFonts w:hint="eastAsia"/>
        </w:rPr>
        <w:t>1.1 项目概况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1.1.1 项目名称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花加拉嘎乡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小营子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村产业配套基础实施建设项目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" w:name="_Toc13427"/>
      <w:bookmarkStart w:id="5" w:name="_Toc9650"/>
      <w:r>
        <w:rPr>
          <w:rFonts w:hint="eastAsia"/>
        </w:rPr>
        <w:t>1.1.2 建设单位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巴林左旗花加拉嘎乡人民政府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" w:name="_Toc15522"/>
      <w:bookmarkStart w:id="7" w:name="_Toc11384"/>
      <w:r>
        <w:rPr>
          <w:rFonts w:hint="eastAsia"/>
        </w:rPr>
        <w:t>1.1.3 建设地点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巴林左旗花加拉嘎乡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小营子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8" w:name="_Toc15133"/>
      <w:bookmarkStart w:id="9" w:name="_Toc24867"/>
      <w:r>
        <w:rPr>
          <w:rFonts w:hint="eastAsia"/>
        </w:rPr>
        <w:t>1.1.4 建设内容与规模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玉米片饲料加工厂四周浆砌石防洪堤长667米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0" w:name="_Toc9477"/>
      <w:bookmarkStart w:id="11" w:name="_Toc4510"/>
      <w:r>
        <w:rPr>
          <w:rFonts w:hint="eastAsia"/>
        </w:rPr>
        <w:t>1.1.5 项目投资</w:t>
      </w:r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1.总投资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本项目总投资为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0万元，其中工程费用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2.资金筹措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本项目资金来源为申请中央财政衔接推进乡村振兴补助资金。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2" w:name="_Toc22629"/>
      <w:bookmarkStart w:id="13" w:name="_Toc30707"/>
      <w:r>
        <w:rPr>
          <w:rFonts w:hint="eastAsia"/>
        </w:rPr>
        <w:t>1.1.6 实施进度</w:t>
      </w:r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本项目实施进度为2022年4月至12月。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4" w:name="_Toc19236"/>
      <w:bookmarkStart w:id="15" w:name="_Toc28760"/>
      <w:r>
        <w:rPr>
          <w:rFonts w:hint="eastAsia"/>
          <w:lang w:val="en-US" w:eastAsia="zh-CN"/>
        </w:rPr>
        <w:t>第二章 项目背景与建设的必要性</w:t>
      </w:r>
      <w:bookmarkEnd w:id="14"/>
      <w:bookmarkEnd w:id="15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6" w:name="_Toc13262"/>
      <w:bookmarkStart w:id="17" w:name="_Toc17627"/>
      <w:r>
        <w:rPr>
          <w:rFonts w:hint="eastAsia"/>
        </w:rPr>
        <w:t>2.1 项目背景</w:t>
      </w:r>
      <w:bookmarkEnd w:id="16"/>
      <w:bookmarkEnd w:id="17"/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随着我国农业的快速发展，玉米产业战略性结构调整步伐随之加快，在产业结构上，开始从初加工向精深加工拓展；区域结构上，玉米产业重心开始由销区向产区转移；从生产情况看，近年来在国家一系列惠农政策支持下，在市场价格拉动下，农民种粮积极性不断高涨，玉米产量持续攀升。以现在的市场情况看，不仅社会效益和经济效益显著，还有一定的抗风险能力。花加拉嘎乡小营子村采取“托管”模式：农民把土地委托给合作社管理，合作社提供全部机耕、机种、机管、机收服务，产出的粮食归农户所有，合作社仅收取服务费用。全村6200亩水浇地全部实现托管,通过“土地托管”实现“农资供应、耕种、管理、灌溉、收割、销售”的“六统一”，土地托管，从根本上解决了人力、农资、机械、仓储等，在农业产业链中的各环节问题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托管模式的成功，能够有效保证原材料的供给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为提高玉米产品附加值，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促进村集体经济发展、提高种植户收入、带动劳动就业，现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建设玉米片饲料厂一处。2021年防汛期间上游最大降水量达69毫米，为近十年来最大降水量，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雨水顺流而下，部分上游河道损毁严重，小营子村位于下游地段，再有强降雨，将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严重影响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小营子村村民生命及玉米片饲料加工厂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财产安全，为提高小营子村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玉米片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饲料加工厂安全性，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以及保护群众生命财产安全，计划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饲料厂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四周建设防洪堤。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18" w:name="_Toc3758"/>
      <w:bookmarkStart w:id="19" w:name="_Toc16522"/>
      <w:r>
        <w:rPr>
          <w:rFonts w:hint="eastAsia"/>
        </w:rPr>
        <w:t>2.2 项目建设的必要性</w:t>
      </w:r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花加拉嘎乡现有耕地13.5万亩，其中近9万亩种植作物为玉米，形成了玉米种植产业带，年产粮食可达10800万斤，能够为玉米片加工厂建设提供原材料保障，尤其是小营子村土地集约化种植度较高，又采取托管模式，能够原材料供应充足，防止产能过程，玉米片深加工的产业延伸，可以有效提高产品附加值，从简单的销售到深加工，能够给村集体和村民带来较大的经济效益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为提高小营子村玉米片饲料加工厂抵御洪水等自然灾害的防范能力，在工厂四周建立护堤是有必要的。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0" w:name="_Toc15833"/>
      <w:bookmarkStart w:id="21" w:name="_Toc17874"/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第三章 场址选择</w:t>
      </w:r>
      <w:bookmarkEnd w:id="20"/>
      <w:bookmarkEnd w:id="21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2" w:name="_Toc13400"/>
      <w:bookmarkStart w:id="23" w:name="_Toc25209"/>
      <w:r>
        <w:rPr>
          <w:rFonts w:hint="eastAsia"/>
        </w:rPr>
        <w:t>3.1 建设地点选择</w:t>
      </w:r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本项目建设地点位于巴林左旗花加拉嘎乡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小营子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村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4" w:name="_Toc15047"/>
      <w:bookmarkStart w:id="25" w:name="_Toc1662"/>
      <w:r>
        <w:rPr>
          <w:rFonts w:hint="eastAsia"/>
        </w:rPr>
        <w:t>3.2 建设条件</w:t>
      </w:r>
      <w:bookmarkEnd w:id="24"/>
      <w:bookmarkEnd w:id="25"/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6" w:name="_Toc11251"/>
      <w:bookmarkStart w:id="27" w:name="_Toc2595"/>
      <w:r>
        <w:rPr>
          <w:rFonts w:hint="eastAsia"/>
        </w:rPr>
        <w:t>3.2.1 自然条件</w:t>
      </w:r>
      <w:bookmarkEnd w:id="26"/>
      <w:bookmarkEnd w:id="2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1.地形、地貌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本项目区地形起伏不大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2.工程地质条件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建设地点工程地质条件满足使用和建设要求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3.场地地震效应评价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场地稳定性好，适宜本工程建设。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4.冻深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最大冻土深度为2.2m。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28" w:name="_Toc18615"/>
      <w:bookmarkStart w:id="29" w:name="_Toc21192"/>
      <w:r>
        <w:rPr>
          <w:rFonts w:hint="eastAsia"/>
        </w:rPr>
        <w:t>3.2.2社会经济状况</w:t>
      </w:r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花加拉嘎乡地处巴林左旗东北部，政府所在地伙力伙村，距旗政府所在地25公里，全乡总土地面积344平方公里(50万亩)，东与阿鲁科尔沁旗接壤，南与林东镇毗邻，西与林东镇、十三敖包镇连边，北与三山乡交界。全乡辖 13个行政村，23个自然村，户籍人口 7212户18414人，常住人口3600户9059人。全乡耕地面积13.5万亩(水浇地面积 7.8万亩)，草牧场面积21万亩，林地面积12.4万亩。花加拉嘎乡属于中温带半干旱气候，四季分明，年平均气温5.3℃，平均日照时数3000小时左右，年平均降水量350-400毫米，平均海拔649 米，无霜期115--125天。花加拉嘎乡现有党支部14个，全乡党员 489 人。辖区内有幸福院1所，老年公寓1所，寄宿制学校1所，卫生院1所，上三七地村扶贫产业园1处。农牧业资源主要以膜下滴灌节水农业、大扁杏、杂粮豆、肉驴、肉牛为主。我乡现有牲畜头数10万头只，全乡共有水浇地 7.8 万亩，粮食产量5.9万吨，笤帚苗种植面积共2万亩，原苗产量200万斤。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19"/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9"/>
          <w:rFonts w:hint="eastAsia" w:asciiTheme="minorEastAsia" w:hAnsi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小营子村位于花加拉嘎乡中部，坐落在“丰小线”“衙小线”与县级公路的交汇处，距旗政府25公里。全村总面积1.4万亩，耕地面积7786亩，其中水浇地面积6200亩。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19"/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highlight w:val="none"/>
          <w:lang w:val="en-US" w:eastAsia="zh-CN" w:bidi="ar-SA"/>
        </w:rPr>
        <w:t>花加拉嘎乡小营子村主要以种植业为主，养殖业为辅。2020年末玉米种植产量达4650吨，总经济效益达800万元，大小蓄存栏4600余头只，2020年末人均纯收入10342元。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30" w:name="_Toc17908"/>
      <w:bookmarkStart w:id="31" w:name="_Toc30878"/>
      <w:r>
        <w:rPr>
          <w:rFonts w:hint="eastAsia"/>
        </w:rPr>
        <w:t>3.2.3 交通运输条件</w:t>
      </w:r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花加拉嘎乡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交通运输非常便利。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乡政府距旗政府所在地25公里，西连接305国道，东至乌兰达坝苏木，南至白音沟，北可直接达十三敖包镇政府所在地洞山村，215县乡道横跨花加拉嘎乡，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是该地区商品、物资运输的主动脉。形成了以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花加拉嘎乡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为中心的四通八达的交通网络，同时“村村通油路工程”建设进展顺利，交通运输条件进一步改善。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32" w:name="_Toc23543"/>
      <w:bookmarkStart w:id="33" w:name="_Toc8911"/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第四章 建设方案</w:t>
      </w:r>
      <w:bookmarkEnd w:id="32"/>
      <w:bookmarkEnd w:id="33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34" w:name="_Toc30415"/>
      <w:bookmarkStart w:id="35" w:name="_Toc24824"/>
      <w:r>
        <w:rPr>
          <w:rFonts w:hint="eastAsia"/>
        </w:rPr>
        <w:t>4.1 建设内容和规模</w:t>
      </w:r>
      <w:bookmarkEnd w:id="3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9"/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Style w:val="19"/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Style w:val="19"/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花加拉嘎乡小营子玉米片饲料加工厂四周浆砌石防洪堤长667米</w:t>
      </w:r>
      <w:r>
        <w:rPr>
          <w:rStyle w:val="19"/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36" w:name="_Toc28926"/>
      <w:bookmarkStart w:id="37" w:name="_Toc19794"/>
      <w:r>
        <w:rPr>
          <w:rFonts w:hint="eastAsia"/>
        </w:rPr>
        <w:t>4.2 防护工程设计方案</w:t>
      </w:r>
      <w:bookmarkEnd w:id="36"/>
      <w:bookmarkEnd w:id="3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玉米片饲料加工厂四周浆砌石防洪堤长667米，高4米，厚0.3米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38" w:name="_Toc13207"/>
      <w:bookmarkStart w:id="39" w:name="_Toc18265"/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第五章 </w:t>
      </w:r>
      <w:r>
        <w:rPr>
          <w:rFonts w:hint="eastAsia"/>
        </w:rPr>
        <w:t>节能节水措施</w:t>
      </w:r>
      <w:bookmarkEnd w:id="38"/>
      <w:bookmarkEnd w:id="39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0" w:name="_Toc16175"/>
      <w:bookmarkStart w:id="41" w:name="_Toc26250"/>
      <w:r>
        <w:rPr>
          <w:rFonts w:hint="eastAsia"/>
        </w:rPr>
        <w:t>5.1 设计依据</w:t>
      </w:r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《中华人民共和国节约能源法》；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《民用建筑绿色设计规范》（JGJ/T 229-2010）。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2" w:name="_Toc29402"/>
      <w:bookmarkStart w:id="43" w:name="_Toc31850"/>
      <w:r>
        <w:rPr>
          <w:rFonts w:hint="eastAsia"/>
        </w:rPr>
        <w:t>5.2 节能方案</w:t>
      </w:r>
      <w:bookmarkEnd w:id="42"/>
      <w:bookmarkEnd w:id="4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尽量减少使用合成材料，充分利用阳光，节省能源，为大家创造一种接近自然地感觉。以人、建筑和自然环境的协调发展为目标，在利用天然条件和人工手段创造良好、健康的居住环境的同时，尽可能地控制和减少对自然环境的使用或破坏，充分体现向大自然的索取和回报之间的平衡。绿色建筑达到三个目标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第一，减少建筑物在使用维护中的耗能，缓解能源危机；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第二，减少耗能的同时，提供舒适、环保的工作或居住环境；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第三，减少城市发展对地球生态的影响，如二氧化碳的排放和城市热岛效应。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4" w:name="_Toc22069"/>
      <w:bookmarkStart w:id="45" w:name="_Toc6947"/>
      <w:r>
        <w:rPr>
          <w:rFonts w:hint="eastAsia"/>
        </w:rPr>
        <w:t>5.3 节能措施</w:t>
      </w:r>
      <w:bookmarkEnd w:id="44"/>
      <w:bookmarkEnd w:id="4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本项目没有采暖、给水，不照明，因此在运营期间不耗能。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Style w:val="21"/>
          <w:rFonts w:hint="eastAsia"/>
          <w:lang w:val="en-US" w:eastAsia="zh-CN"/>
        </w:rPr>
        <w:t xml:space="preserve">第六章 </w:t>
      </w:r>
      <w:r>
        <w:rPr>
          <w:rStyle w:val="21"/>
          <w:rFonts w:hint="eastAsia"/>
        </w:rPr>
        <w:t>环境影响评价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6" w:name="_Toc17546"/>
      <w:bookmarkStart w:id="47" w:name="_Toc21841"/>
      <w:r>
        <w:rPr>
          <w:rFonts w:hint="eastAsia"/>
        </w:rPr>
        <w:t>6.1 项目场址环境现状</w:t>
      </w:r>
      <w:bookmarkEnd w:id="46"/>
      <w:bookmarkEnd w:id="4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项目所在地没有市政管网，生活污水经过化粪池处理达到《污水综合排放标准》中规定的一级排放标准后抽粪车抽走，最终运到污水处理厂集中进行处理达标后外排。环境空气质量符合《环境空气质量标准》（GB 3095-2012）二类标准。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声环境质量临街处符合《声环境质量标准》（GB 3096-2008）四类标准，其他处符合《声环境质量标准》（GB 3096-2008）二类标准。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48" w:name="_Toc957"/>
      <w:bookmarkStart w:id="49" w:name="_Toc12211"/>
      <w:r>
        <w:rPr>
          <w:rFonts w:hint="eastAsia"/>
        </w:rPr>
        <w:t>6.2 项目建设与运营对环境的影响</w:t>
      </w:r>
      <w:bookmarkEnd w:id="48"/>
      <w:bookmarkEnd w:id="49"/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0" w:name="_Toc27999"/>
      <w:r>
        <w:rPr>
          <w:rFonts w:hint="eastAsia"/>
        </w:rPr>
        <w:t>6.2.1 施工期环境影响分析及对应措施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366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1.在施工场地安排员工定期对施工场地洒水以减少扬尘量，洒水次数根据天气状况而定。一般每天洒水 1-2 次；若遇到大风或干燥天气可适当增加洒水次数。施工场地洒水与否对扬尘的影响较大，场地洒水后，扬尘量将减低 28%-75%，大大减少了其对环境的影响。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2.施工噪声影响缓解措施：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366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（1）从声源上加以控制；（2）施工场地的施工车辆出入地点应尽量远离敏感点，车辆出入现场时应低速、禁鸣；（3）建设与施工单位还应与施工场地周围单位、居民建立良好的关系，及时让他们了解施工进度及采取的降噪措施，并取得大家的共同理解。若因工艺或特殊需要必须连续施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3.施工垃圾对环境的影响分析及对应措施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固体废物的来源：固体废物主要来源于施工过程中产生的建筑垃圾、弃土施工人员产生的生活垃圾。建筑垃圾主要为残砖、断瓦、废弃混凝土等。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环境影响分析及处置措施：施工期的生活垃圾量很少，主要是厨余垃圾，另外还有少量工人用餐后的废弃饭盒、塑料袋等，如不及时清理，在气温适宜的条件下会滋生蚊虫、产生恶臭、传播疾病。采取定点堆放、即产即清的方法外运至指定地点消纳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1" w:name="_Toc28284"/>
      <w:r>
        <w:rPr>
          <w:rFonts w:hint="eastAsia"/>
        </w:rPr>
        <w:t>6.2.2 营运期环境影响分析及对应措施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废水：主要为生活污、废水；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废气：主要为汽车尾气污染；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噪声：主要为生活噪声、交通噪声；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固体废物：主要是生活垃圾。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对应措施：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生活污水就地处理后，采用抽粪车运走；生活垃圾收集后统一送往附近垃圾场。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2" w:name="_Toc22023"/>
      <w:bookmarkStart w:id="53" w:name="_Toc25047"/>
      <w:r>
        <w:rPr>
          <w:rFonts w:hint="eastAsia"/>
          <w:lang w:val="en-US" w:eastAsia="zh-CN"/>
        </w:rPr>
        <w:t>第七章 工程管理</w:t>
      </w:r>
      <w:bookmarkEnd w:id="52"/>
      <w:bookmarkEnd w:id="53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4" w:name="_Toc12272"/>
      <w:bookmarkStart w:id="55" w:name="_Toc28222"/>
      <w:r>
        <w:rPr>
          <w:rFonts w:hint="eastAsia"/>
        </w:rPr>
        <w:t>7.1 项目建设期管理</w:t>
      </w:r>
      <w:bookmarkEnd w:id="54"/>
      <w:bookmarkEnd w:id="55"/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6" w:name="_Toc15628"/>
      <w:r>
        <w:rPr>
          <w:rFonts w:hint="eastAsia"/>
        </w:rPr>
        <w:t>7.1.1 组织管理</w:t>
      </w:r>
      <w:bookmarkEnd w:id="5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该项目成立由花加拉嘎乡人民政府主要领导负责，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财政所及项目实施村委会主要负责人组成的项目领导小组，负责组织和协调重大事项的决策，对项目建设全面负责。领导小组负责项目组织实施、监督管理等工作，负责项目资金运行管理。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7" w:name="_Toc8164"/>
      <w:r>
        <w:rPr>
          <w:rFonts w:hint="eastAsia"/>
        </w:rPr>
        <w:t>7.1.2 建设管理</w:t>
      </w:r>
      <w:bookmarkEnd w:id="5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366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为能使项目顺利实施，必须建立一套完整的项目管理制度和监督管理制度：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366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1.项目法人制：本项目为项目法人单位为巴林左旗花加拉嘎乡人民政府，负责组织协调和重大事项的决策，对项目建设全面负责。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266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2.工程监理制：实工程监理制，监理单位要认真履行监理职责，特别要加强对关键工序、重要部位和隐蔽工程的监督检查。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366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.合同制：工程建设全部实行合同制管理，中标单位单位与项目法人签订合同，合同明确责任、权利和义务，作为资金拨付和验收的重要依据。</w:t>
      </w:r>
    </w:p>
    <w:p>
      <w:pPr>
        <w:pStyle w:val="4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8" w:name="_Toc2250"/>
      <w:r>
        <w:rPr>
          <w:rFonts w:hint="eastAsia"/>
        </w:rPr>
        <w:t>7.1.3 资金管理</w:t>
      </w:r>
      <w:bookmarkEnd w:id="5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由项目施工单位向项目法人单位提出项目资金申请，项目法人单位根据施工单位的施工进度逐步拨付。同时还要建立健全资金管理和各项规章制度，严禁截留、挤占和挪用项目资金，接受纪检监察、财政、审计等部门的监督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59" w:name="_Toc27778"/>
      <w:bookmarkStart w:id="60" w:name="_Toc18940"/>
      <w:r>
        <w:rPr>
          <w:rFonts w:hint="eastAsia"/>
        </w:rPr>
        <w:t>7.2 项目实施进度</w:t>
      </w:r>
      <w:bookmarkEnd w:id="59"/>
      <w:bookmarkEnd w:id="6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36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本项目实施进度为 2022 年 4 月至 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61" w:name="_Toc16933"/>
      <w:bookmarkStart w:id="62" w:name="_Toc9082"/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第八章 投资估算</w:t>
      </w:r>
      <w:bookmarkEnd w:id="61"/>
      <w:bookmarkEnd w:id="62"/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3" w:name="_Toc22554"/>
      <w:bookmarkStart w:id="64" w:name="_Toc21686"/>
      <w:r>
        <w:rPr>
          <w:rFonts w:hint="eastAsia"/>
        </w:rPr>
        <w:t>8.1 工程概况</w:t>
      </w:r>
      <w:bookmarkEnd w:id="63"/>
      <w:bookmarkEnd w:id="6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玉米片饲料加工厂四周浆砌石防洪堤长667米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5" w:name="_Toc15432"/>
      <w:bookmarkStart w:id="66" w:name="_Toc17889"/>
      <w:r>
        <w:rPr>
          <w:rFonts w:hint="eastAsia"/>
        </w:rPr>
        <w:t>8.2 编制依据</w:t>
      </w:r>
      <w:bookmarkEnd w:id="65"/>
      <w:bookmarkEnd w:id="6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《建设项目投资估算编审规程》（CECA GC1-2015）；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266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《关于调整内蒙古自治区建设工程计价依据增值税税率的通知》（内建标〔2019〕113 号）；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《内蒙古自治区建设工程费用定额》（DYD15-801-2017）；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226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《内蒙古自治区市政工程预算定额 第一册 通用工程》（2017）；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226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《内蒙古自治区市政工程预算定额 第二册 道路工程》（2017）；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7" w:name="_Toc11464"/>
      <w:bookmarkStart w:id="68" w:name="_Toc23219"/>
      <w:r>
        <w:rPr>
          <w:rFonts w:hint="eastAsia"/>
        </w:rPr>
        <w:t>8.3 建筑材料价格计取依据</w:t>
      </w:r>
      <w:bookmarkEnd w:id="67"/>
      <w:bookmarkEnd w:id="6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建筑材料价格执行赤峰市巴林左旗 2022 年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4</w:t>
      </w:r>
      <w:bookmarkStart w:id="75" w:name="_GoBack"/>
      <w:bookmarkEnd w:id="75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月份市场价格。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69" w:name="_Toc27083"/>
      <w:bookmarkStart w:id="70" w:name="_Toc27454"/>
      <w:r>
        <w:rPr>
          <w:rFonts w:hint="eastAsia"/>
        </w:rPr>
        <w:t>8.4 投资估算内容</w:t>
      </w:r>
      <w:bookmarkEnd w:id="69"/>
      <w:bookmarkEnd w:id="7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本项目总投资由工程费用、工程建设其他费用、预备费构成。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1.工程费用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工程费用主要为建筑与装饰工程费。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2.工程建设其他费用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本项目不计工程建设其他费用。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3.预备费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本项目不计预备费。</w:t>
      </w:r>
    </w:p>
    <w:p>
      <w:pPr>
        <w:pStyle w:val="3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71" w:name="_Toc29864"/>
      <w:bookmarkStart w:id="72" w:name="_Toc5709"/>
      <w:r>
        <w:rPr>
          <w:rFonts w:hint="eastAsia"/>
        </w:rPr>
        <w:t>8.5 投资估算及资金来源</w:t>
      </w:r>
      <w:bookmarkEnd w:id="71"/>
      <w:bookmarkEnd w:id="7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1.总投资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本项目总投资为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万元，其中工程费用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2.资金筹措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本项目资金来源为申请中央财政衔接推进乡村振兴补助资金。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73" w:name="_Toc27646"/>
      <w:bookmarkStart w:id="74" w:name="_Toc31762"/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第九章 </w:t>
      </w:r>
      <w:r>
        <w:rPr>
          <w:rFonts w:hint="eastAsia"/>
        </w:rPr>
        <w:t>效益分析</w:t>
      </w:r>
      <w:bookmarkEnd w:id="73"/>
      <w:bookmarkEnd w:id="7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本项目受益人口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其中涉及脱贫人口36人，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项目实施后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产权归村集体所有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可以改善人居环境，保障村民生命财产安全，减少安全隐患，改善了农民的生产、生活条件，保障了周边地区经济蓬勃发展，保证当地国民经济的持续稳定发展，提高人民群众的生活质量，维护区域社会稳定，促进乡村振兴发展，因此社会效益显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0"/>
          <w:szCs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3527"/>
    <w:rsid w:val="21CB308C"/>
    <w:rsid w:val="37B72A9A"/>
    <w:rsid w:val="38104502"/>
    <w:rsid w:val="4AA5289C"/>
    <w:rsid w:val="53D3223A"/>
    <w:rsid w:val="5549510F"/>
    <w:rsid w:val="5BEF1DC9"/>
    <w:rsid w:val="61087D3A"/>
    <w:rsid w:val="628C5D51"/>
    <w:rsid w:val="656F0EF3"/>
    <w:rsid w:val="6919182A"/>
    <w:rsid w:val="79BE5E45"/>
    <w:rsid w:val="7BFC29CF"/>
    <w:rsid w:val="7E1412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kern w:val="0"/>
      <w:sz w:val="36"/>
      <w:szCs w:val="32"/>
    </w:rPr>
  </w:style>
  <w:style w:type="paragraph" w:styleId="6">
    <w:name w:val="toc 7"/>
    <w:basedOn w:val="1"/>
    <w:next w:val="1"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uiPriority w:val="0"/>
    <w:pPr>
      <w:ind w:left="420" w:leftChars="200"/>
    </w:pPr>
  </w:style>
  <w:style w:type="paragraph" w:styleId="16">
    <w:name w:val="toc 9"/>
    <w:basedOn w:val="1"/>
    <w:next w:val="1"/>
    <w:qFormat/>
    <w:uiPriority w:val="0"/>
    <w:pPr>
      <w:ind w:left="3360" w:leftChars="1600"/>
    </w:pPr>
  </w:style>
  <w:style w:type="character" w:customStyle="1" w:styleId="19">
    <w:name w:val="样式2"/>
    <w:qFormat/>
    <w:uiPriority w:val="0"/>
    <w:rPr>
      <w:rFonts w:ascii="宋体" w:hAnsi="宋体" w:eastAsia="宋体"/>
      <w:color w:val="000000"/>
      <w:sz w:val="24"/>
    </w:rPr>
  </w:style>
  <w:style w:type="paragraph" w:customStyle="1" w:styleId="20">
    <w:name w:val="样式1"/>
    <w:basedOn w:val="1"/>
    <w:qFormat/>
    <w:uiPriority w:val="0"/>
    <w:pPr>
      <w:adjustRightInd w:val="0"/>
      <w:snapToGrid w:val="0"/>
      <w:spacing w:line="360" w:lineRule="auto"/>
      <w:ind w:firstLine="510"/>
    </w:pPr>
    <w:rPr>
      <w:rFonts w:ascii="Times New Roman" w:hAnsi="Times New Roman" w:cs="宋体"/>
      <w:sz w:val="28"/>
    </w:rPr>
  </w:style>
  <w:style w:type="character" w:customStyle="1" w:styleId="21">
    <w:name w:val="标题 Char"/>
    <w:link w:val="2"/>
    <w:qFormat/>
    <w:uiPriority w:val="0"/>
    <w:rPr>
      <w:rFonts w:ascii="Cambria" w:hAnsi="Cambria" w:eastAsia="黑体"/>
      <w:b/>
      <w:bCs/>
      <w:kern w:val="0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2022-04-17T07:12:37Z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