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2182" w:firstLineChars="418"/>
        <w:rPr>
          <w:rFonts w:ascii="方正小标宋简体" w:eastAsia="方正小标宋简体" w:cs="宋体"/>
          <w:b/>
          <w:bCs/>
          <w:color w:val="000000"/>
          <w:sz w:val="52"/>
          <w:szCs w:val="52"/>
        </w:rPr>
      </w:pPr>
      <w:r>
        <w:rPr>
          <w:rFonts w:hint="eastAsia" w:ascii="方正小标宋简体" w:hAnsi="宋体" w:eastAsia="方正小标宋简体" w:cs="宋体"/>
          <w:b/>
          <w:bCs/>
          <w:color w:val="000000"/>
          <w:sz w:val="52"/>
          <w:szCs w:val="52"/>
        </w:rPr>
        <w:t>富河镇地震应急预案</w:t>
      </w: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1680"/>
        <w:jc w:val="center"/>
        <w:rPr>
          <w:rFonts w:ascii="宋体" w:cs="宋体"/>
          <w:b/>
          <w:bCs/>
          <w:color w:val="000000"/>
          <w:sz w:val="44"/>
          <w:szCs w:val="44"/>
        </w:rPr>
      </w:pPr>
    </w:p>
    <w:p>
      <w:pPr>
        <w:ind w:firstLine="3455" w:firstLineChars="956"/>
        <w:jc w:val="both"/>
        <w:rPr>
          <w:rFonts w:ascii="宋体" w:cs="宋体"/>
          <w:b/>
          <w:bCs/>
          <w:color w:val="000000"/>
          <w:sz w:val="44"/>
          <w:szCs w:val="44"/>
        </w:rPr>
      </w:pPr>
      <w:r>
        <w:rPr>
          <w:rFonts w:hint="eastAsia" w:ascii="宋体" w:hAnsi="宋体" w:cs="宋体"/>
          <w:b/>
          <w:bCs/>
          <w:color w:val="000000"/>
          <w:sz w:val="36"/>
          <w:szCs w:val="36"/>
        </w:rPr>
        <w:t>富河镇人民政府</w:t>
      </w:r>
    </w:p>
    <w:p>
      <w:pPr>
        <w:pStyle w:val="2"/>
        <w:ind w:firstLine="3578" w:firstLineChars="990"/>
        <w:rPr>
          <w:sz w:val="36"/>
          <w:szCs w:val="36"/>
        </w:rPr>
        <w:sectPr>
          <w:headerReference r:id="rId3" w:type="default"/>
          <w:footerReference r:id="rId4" w:type="default"/>
          <w:pgSz w:w="11906" w:h="16838"/>
          <w:pgMar w:top="1701" w:right="1418" w:bottom="1418" w:left="1418" w:header="851" w:footer="992" w:gutter="0"/>
          <w:pgNumType w:fmt="upperRoman" w:start="1"/>
          <w:cols w:space="425" w:num="1"/>
          <w:docGrid w:type="lines" w:linePitch="312" w:charSpace="0"/>
        </w:sectPr>
      </w:pPr>
      <w:r>
        <w:rPr>
          <w:rFonts w:hint="eastAsia" w:ascii="宋体" w:hAnsi="Courier New" w:eastAsia="宋体" w:cs="宋体"/>
          <w:b/>
          <w:bCs/>
          <w:kern w:val="2"/>
          <w:sz w:val="36"/>
          <w:szCs w:val="36"/>
        </w:rPr>
        <w:t>二</w:t>
      </w:r>
      <w:r>
        <w:rPr>
          <w:rFonts w:ascii="宋体" w:hAnsi="Courier New" w:eastAsia="宋体" w:cs="宋体"/>
          <w:b/>
          <w:bCs/>
          <w:kern w:val="2"/>
          <w:sz w:val="36"/>
          <w:szCs w:val="36"/>
        </w:rPr>
        <w:t>0</w:t>
      </w:r>
      <w:r>
        <w:rPr>
          <w:rFonts w:hint="eastAsia" w:ascii="宋体" w:hAnsi="Courier New" w:eastAsia="宋体" w:cs="宋体"/>
          <w:b/>
          <w:bCs/>
          <w:kern w:val="2"/>
          <w:sz w:val="36"/>
          <w:szCs w:val="36"/>
        </w:rPr>
        <w:t>二一年六月</w:t>
      </w:r>
    </w:p>
    <w:p>
      <w:pPr>
        <w:spacing w:line="360" w:lineRule="auto"/>
        <w:ind w:firstLine="31680"/>
        <w:jc w:val="center"/>
        <w:rPr>
          <w:rFonts w:ascii="宋体" w:cs="宋体"/>
          <w:b/>
          <w:bCs/>
          <w:color w:val="000000"/>
        </w:rPr>
      </w:pPr>
      <w:r>
        <w:rPr>
          <w:rFonts w:hint="eastAsia" w:ascii="宋体" w:hAnsi="宋体" w:cs="宋体"/>
          <w:b/>
          <w:bCs/>
          <w:color w:val="000000"/>
        </w:rPr>
        <w:t>目</w:t>
      </w:r>
      <w:r>
        <w:rPr>
          <w:rFonts w:ascii="宋体" w:hAnsi="宋体" w:cs="宋体"/>
          <w:b/>
          <w:bCs/>
          <w:color w:val="000000"/>
        </w:rPr>
        <w:t xml:space="preserve">  </w:t>
      </w:r>
      <w:r>
        <w:rPr>
          <w:rFonts w:hint="eastAsia" w:ascii="宋体" w:hAnsi="宋体" w:cs="宋体"/>
          <w:b/>
          <w:bCs/>
          <w:color w:val="000000"/>
        </w:rPr>
        <w:t>录</w:t>
      </w:r>
    </w:p>
    <w:p>
      <w:pPr>
        <w:pStyle w:val="9"/>
        <w:tabs>
          <w:tab w:val="right" w:leader="dot" w:pos="8310"/>
          <w:tab w:val="clear" w:pos="9060"/>
        </w:tabs>
      </w:pPr>
      <w:r>
        <w:rPr>
          <w:color w:val="000000"/>
          <w:sz w:val="24"/>
          <w:szCs w:val="24"/>
        </w:rPr>
        <w:fldChar w:fldCharType="begin"/>
      </w:r>
      <w:r>
        <w:rPr>
          <w:color w:val="000000"/>
          <w:sz w:val="24"/>
          <w:szCs w:val="24"/>
        </w:rPr>
        <w:instrText xml:space="preserve">TOC \o "1-3" \h \u </w:instrText>
      </w:r>
      <w:r>
        <w:rPr>
          <w:color w:val="000000"/>
          <w:sz w:val="24"/>
          <w:szCs w:val="24"/>
        </w:rPr>
        <w:fldChar w:fldCharType="separate"/>
      </w:r>
      <w:r>
        <w:fldChar w:fldCharType="begin"/>
      </w:r>
      <w:r>
        <w:instrText xml:space="preserve"> HYPERLINK \l "_Toc22715" </w:instrText>
      </w:r>
      <w:r>
        <w:fldChar w:fldCharType="separate"/>
      </w:r>
      <w:r>
        <w:t xml:space="preserve">1  </w:t>
      </w:r>
      <w:r>
        <w:rPr>
          <w:rFonts w:hint="eastAsia"/>
        </w:rPr>
        <w:t>总则</w:t>
      </w:r>
      <w:r>
        <w:tab/>
      </w:r>
      <w:r>
        <w:fldChar w:fldCharType="end"/>
      </w:r>
    </w:p>
    <w:p>
      <w:pPr>
        <w:pStyle w:val="10"/>
        <w:tabs>
          <w:tab w:val="right" w:leader="dot" w:pos="8310"/>
        </w:tabs>
        <w:ind w:left="31680"/>
      </w:pPr>
      <w:r>
        <w:fldChar w:fldCharType="begin"/>
      </w:r>
      <w:r>
        <w:instrText xml:space="preserve"> HYPERLINK \l "_Toc16064" </w:instrText>
      </w:r>
      <w:r>
        <w:fldChar w:fldCharType="separate"/>
      </w:r>
      <w:r>
        <w:rPr>
          <w:rFonts w:ascii="宋体" w:hAnsi="宋体" w:cs="宋体"/>
        </w:rPr>
        <w:t xml:space="preserve">1.1 </w:t>
      </w:r>
      <w:r>
        <w:rPr>
          <w:rFonts w:hint="eastAsia" w:ascii="宋体" w:hAnsi="宋体" w:cs="宋体"/>
        </w:rPr>
        <w:t>编制目的</w:t>
      </w:r>
      <w:r>
        <w:tab/>
      </w:r>
      <w:r>
        <w:fldChar w:fldCharType="end"/>
      </w:r>
    </w:p>
    <w:p>
      <w:pPr>
        <w:pStyle w:val="10"/>
        <w:tabs>
          <w:tab w:val="right" w:leader="dot" w:pos="8310"/>
        </w:tabs>
        <w:ind w:left="31680"/>
      </w:pPr>
      <w:r>
        <w:fldChar w:fldCharType="begin"/>
      </w:r>
      <w:r>
        <w:instrText xml:space="preserve"> HYPERLINK \l "_Toc30401" </w:instrText>
      </w:r>
      <w:r>
        <w:fldChar w:fldCharType="separate"/>
      </w:r>
      <w:r>
        <w:rPr>
          <w:rFonts w:ascii="宋体" w:hAnsi="宋体" w:cs="宋体"/>
        </w:rPr>
        <w:t xml:space="preserve">1.2 </w:t>
      </w:r>
      <w:r>
        <w:rPr>
          <w:rFonts w:hint="eastAsia" w:ascii="宋体" w:hAnsi="宋体" w:cs="宋体"/>
        </w:rPr>
        <w:t>编制依据</w:t>
      </w:r>
      <w:r>
        <w:tab/>
      </w:r>
      <w:r>
        <w:fldChar w:fldCharType="end"/>
      </w:r>
    </w:p>
    <w:p>
      <w:pPr>
        <w:pStyle w:val="10"/>
        <w:tabs>
          <w:tab w:val="right" w:leader="dot" w:pos="8310"/>
        </w:tabs>
        <w:ind w:left="31680"/>
      </w:pPr>
      <w:r>
        <w:fldChar w:fldCharType="begin"/>
      </w:r>
      <w:r>
        <w:instrText xml:space="preserve"> HYPERLINK \l "_Toc32642" </w:instrText>
      </w:r>
      <w:r>
        <w:fldChar w:fldCharType="separate"/>
      </w:r>
      <w:r>
        <w:rPr>
          <w:rFonts w:ascii="宋体" w:hAnsi="宋体" w:cs="宋体"/>
        </w:rPr>
        <w:t xml:space="preserve">1.3 </w:t>
      </w:r>
      <w:r>
        <w:rPr>
          <w:rFonts w:hint="eastAsia" w:ascii="宋体" w:hAnsi="宋体" w:cs="宋体"/>
        </w:rPr>
        <w:t>适用范围</w:t>
      </w:r>
      <w:r>
        <w:tab/>
      </w:r>
      <w:r>
        <w:fldChar w:fldCharType="end"/>
      </w:r>
    </w:p>
    <w:p>
      <w:pPr>
        <w:pStyle w:val="10"/>
        <w:tabs>
          <w:tab w:val="right" w:leader="dot" w:pos="8310"/>
        </w:tabs>
        <w:ind w:left="31680"/>
      </w:pPr>
      <w:r>
        <w:fldChar w:fldCharType="begin"/>
      </w:r>
      <w:r>
        <w:instrText xml:space="preserve"> HYPERLINK \l "_Toc17955" </w:instrText>
      </w:r>
      <w:r>
        <w:fldChar w:fldCharType="separate"/>
      </w:r>
      <w:r>
        <w:rPr>
          <w:rFonts w:ascii="宋体" w:hAnsi="宋体" w:cs="宋体"/>
        </w:rPr>
        <w:t xml:space="preserve">1.4 </w:t>
      </w:r>
      <w:r>
        <w:rPr>
          <w:rFonts w:hint="eastAsia" w:ascii="宋体" w:hAnsi="宋体" w:cs="宋体"/>
        </w:rPr>
        <w:t>工作原则</w:t>
      </w:r>
      <w:r>
        <w:tab/>
      </w:r>
      <w:r>
        <w:fldChar w:fldCharType="end"/>
      </w:r>
    </w:p>
    <w:p>
      <w:pPr>
        <w:pStyle w:val="9"/>
        <w:tabs>
          <w:tab w:val="right" w:leader="dot" w:pos="8310"/>
          <w:tab w:val="clear" w:pos="9060"/>
        </w:tabs>
      </w:pPr>
      <w:r>
        <w:fldChar w:fldCharType="begin"/>
      </w:r>
      <w:r>
        <w:instrText xml:space="preserve"> HYPERLINK \l "_Toc13820" </w:instrText>
      </w:r>
      <w:r>
        <w:fldChar w:fldCharType="separate"/>
      </w:r>
      <w:r>
        <w:t xml:space="preserve">2  </w:t>
      </w:r>
      <w:r>
        <w:rPr>
          <w:rFonts w:hint="eastAsia"/>
        </w:rPr>
        <w:t>组织体系及职责</w:t>
      </w:r>
      <w:r>
        <w:tab/>
      </w:r>
      <w:r>
        <w:fldChar w:fldCharType="end"/>
      </w:r>
    </w:p>
    <w:p>
      <w:pPr>
        <w:pStyle w:val="10"/>
        <w:tabs>
          <w:tab w:val="right" w:leader="dot" w:pos="8310"/>
        </w:tabs>
        <w:ind w:left="31680"/>
      </w:pPr>
      <w:r>
        <w:fldChar w:fldCharType="begin"/>
      </w:r>
      <w:r>
        <w:instrText xml:space="preserve"> HYPERLINK \l "_Toc10224" </w:instrText>
      </w:r>
      <w:r>
        <w:fldChar w:fldCharType="separate"/>
      </w:r>
      <w:r>
        <w:rPr>
          <w:rFonts w:ascii="宋体" w:hAnsi="宋体" w:cs="宋体"/>
        </w:rPr>
        <w:t xml:space="preserve">2.1 </w:t>
      </w:r>
      <w:r>
        <w:rPr>
          <w:rFonts w:hint="eastAsia" w:ascii="宋体" w:hAnsi="宋体" w:cs="宋体"/>
        </w:rPr>
        <w:t>领导机构及职责</w:t>
      </w:r>
      <w:r>
        <w:tab/>
      </w:r>
      <w:r>
        <w:fldChar w:fldCharType="end"/>
      </w:r>
    </w:p>
    <w:p>
      <w:pPr>
        <w:pStyle w:val="10"/>
        <w:tabs>
          <w:tab w:val="right" w:leader="dot" w:pos="8310"/>
        </w:tabs>
        <w:ind w:left="31680"/>
      </w:pPr>
      <w:r>
        <w:fldChar w:fldCharType="begin"/>
      </w:r>
      <w:r>
        <w:instrText xml:space="preserve"> HYPERLINK \l "_Toc10122" </w:instrText>
      </w:r>
      <w:r>
        <w:fldChar w:fldCharType="separate"/>
      </w:r>
      <w:r>
        <w:rPr>
          <w:rFonts w:ascii="宋体" w:hAnsi="宋体" w:cs="宋体"/>
        </w:rPr>
        <w:t xml:space="preserve">2.2 </w:t>
      </w:r>
      <w:r>
        <w:rPr>
          <w:rFonts w:hint="eastAsia" w:ascii="宋体" w:hAnsi="宋体" w:cs="宋体"/>
        </w:rPr>
        <w:t>抗震救灾指挥机构及职责</w:t>
      </w:r>
      <w:r>
        <w:tab/>
      </w:r>
      <w:r>
        <w:fldChar w:fldCharType="end"/>
      </w:r>
    </w:p>
    <w:p>
      <w:pPr>
        <w:pStyle w:val="10"/>
        <w:tabs>
          <w:tab w:val="right" w:leader="dot" w:pos="8310"/>
        </w:tabs>
        <w:ind w:left="31680"/>
      </w:pPr>
      <w:r>
        <w:fldChar w:fldCharType="begin"/>
      </w:r>
      <w:r>
        <w:instrText xml:space="preserve"> HYPERLINK \l "_Toc6793" </w:instrText>
      </w:r>
      <w:r>
        <w:fldChar w:fldCharType="separate"/>
      </w:r>
      <w:r>
        <w:t xml:space="preserve">2.3 </w:t>
      </w:r>
      <w:r>
        <w:rPr>
          <w:rFonts w:hint="eastAsia"/>
        </w:rPr>
        <w:t>抗震救灾指挥机构主要成员单位职责</w:t>
      </w:r>
      <w:r>
        <w:tab/>
      </w:r>
      <w:r>
        <w:fldChar w:fldCharType="end"/>
      </w:r>
    </w:p>
    <w:p>
      <w:pPr>
        <w:pStyle w:val="10"/>
        <w:tabs>
          <w:tab w:val="right" w:leader="dot" w:pos="8310"/>
        </w:tabs>
        <w:ind w:left="31680"/>
      </w:pPr>
      <w:r>
        <w:fldChar w:fldCharType="begin"/>
      </w:r>
      <w:r>
        <w:instrText xml:space="preserve"> HYPERLINK \l "_Toc21912" </w:instrText>
      </w:r>
      <w:r>
        <w:fldChar w:fldCharType="separate"/>
      </w:r>
      <w:r>
        <w:t xml:space="preserve">2.4 </w:t>
      </w:r>
      <w:r>
        <w:rPr>
          <w:rFonts w:hint="eastAsia"/>
        </w:rPr>
        <w:t>抗震救灾指挥机构工作组组成及职责</w:t>
      </w:r>
      <w:r>
        <w:tab/>
      </w:r>
      <w:r>
        <w:fldChar w:fldCharType="end"/>
      </w:r>
    </w:p>
    <w:p>
      <w:pPr>
        <w:pStyle w:val="9"/>
        <w:tabs>
          <w:tab w:val="right" w:leader="dot" w:pos="8310"/>
          <w:tab w:val="clear" w:pos="9060"/>
        </w:tabs>
      </w:pPr>
      <w:r>
        <w:fldChar w:fldCharType="begin"/>
      </w:r>
      <w:r>
        <w:instrText xml:space="preserve"> HYPERLINK \l "_Toc27636" </w:instrText>
      </w:r>
      <w:r>
        <w:fldChar w:fldCharType="separate"/>
      </w:r>
      <w:r>
        <w:t xml:space="preserve">3  </w:t>
      </w:r>
      <w:r>
        <w:rPr>
          <w:rFonts w:hint="eastAsia"/>
        </w:rPr>
        <w:t>监测报告</w:t>
      </w:r>
      <w:r>
        <w:tab/>
      </w:r>
      <w:r>
        <w:fldChar w:fldCharType="end"/>
      </w:r>
    </w:p>
    <w:p>
      <w:pPr>
        <w:pStyle w:val="10"/>
        <w:tabs>
          <w:tab w:val="right" w:leader="dot" w:pos="8310"/>
        </w:tabs>
        <w:ind w:left="31680"/>
      </w:pPr>
      <w:r>
        <w:fldChar w:fldCharType="begin"/>
      </w:r>
      <w:r>
        <w:instrText xml:space="preserve"> HYPERLINK \l "_Toc1847" </w:instrText>
      </w:r>
      <w:r>
        <w:fldChar w:fldCharType="separate"/>
      </w:r>
      <w:r>
        <w:fldChar w:fldCharType="end"/>
      </w:r>
      <w:r>
        <w:fldChar w:fldCharType="begin"/>
      </w:r>
      <w:r>
        <w:instrText xml:space="preserve"> HYPERLINK \l "_Toc15257" </w:instrText>
      </w:r>
      <w:r>
        <w:fldChar w:fldCharType="separate"/>
      </w:r>
      <w:r>
        <w:rPr>
          <w:rFonts w:ascii="宋体" w:hAnsi="宋体" w:cs="宋体"/>
        </w:rPr>
        <w:t xml:space="preserve">3.1 </w:t>
      </w:r>
      <w:r>
        <w:rPr>
          <w:rFonts w:hint="eastAsia" w:ascii="宋体" w:hAnsi="宋体" w:cs="宋体"/>
        </w:rPr>
        <w:t>震情速报</w:t>
      </w:r>
      <w:r>
        <w:tab/>
      </w:r>
      <w:r>
        <w:fldChar w:fldCharType="end"/>
      </w:r>
    </w:p>
    <w:p>
      <w:pPr>
        <w:pStyle w:val="10"/>
        <w:tabs>
          <w:tab w:val="right" w:leader="dot" w:pos="8310"/>
        </w:tabs>
        <w:ind w:left="31680"/>
      </w:pPr>
      <w:r>
        <w:fldChar w:fldCharType="begin"/>
      </w:r>
      <w:r>
        <w:instrText xml:space="preserve"> HYPERLINK \l "_Toc26719" </w:instrText>
      </w:r>
      <w:r>
        <w:fldChar w:fldCharType="separate"/>
      </w:r>
      <w:r>
        <w:t xml:space="preserve">3.2 </w:t>
      </w:r>
      <w:r>
        <w:rPr>
          <w:rFonts w:hint="eastAsia"/>
        </w:rPr>
        <w:t>灾情报告</w:t>
      </w:r>
      <w:r>
        <w:tab/>
      </w:r>
      <w:r>
        <w:fldChar w:fldCharType="end"/>
      </w:r>
    </w:p>
    <w:p>
      <w:pPr>
        <w:pStyle w:val="9"/>
        <w:tabs>
          <w:tab w:val="right" w:leader="dot" w:pos="8310"/>
          <w:tab w:val="clear" w:pos="9060"/>
        </w:tabs>
      </w:pPr>
      <w:r>
        <w:fldChar w:fldCharType="begin"/>
      </w:r>
      <w:r>
        <w:instrText xml:space="preserve"> HYPERLINK \l "_Toc12029" </w:instrText>
      </w:r>
      <w:r>
        <w:fldChar w:fldCharType="separate"/>
      </w:r>
      <w:r>
        <w:t xml:space="preserve">4  </w:t>
      </w:r>
      <w:r>
        <w:rPr>
          <w:rFonts w:hint="eastAsia"/>
        </w:rPr>
        <w:t>地震灾害事件分级与响应</w:t>
      </w:r>
      <w:r>
        <w:tab/>
      </w:r>
      <w:r>
        <w:fldChar w:fldCharType="end"/>
      </w:r>
    </w:p>
    <w:p>
      <w:pPr>
        <w:pStyle w:val="10"/>
        <w:tabs>
          <w:tab w:val="right" w:leader="dot" w:pos="8310"/>
        </w:tabs>
        <w:ind w:left="31680"/>
      </w:pPr>
      <w:r>
        <w:fldChar w:fldCharType="begin"/>
      </w:r>
      <w:r>
        <w:instrText xml:space="preserve"> HYPERLINK \l "_Toc13380" </w:instrText>
      </w:r>
      <w:r>
        <w:fldChar w:fldCharType="separate"/>
      </w:r>
      <w:r>
        <w:t xml:space="preserve">4.1 </w:t>
      </w:r>
      <w:r>
        <w:rPr>
          <w:rFonts w:hint="eastAsia"/>
        </w:rPr>
        <w:t>地震灾害事件的划分</w:t>
      </w:r>
      <w:r>
        <w:tab/>
      </w:r>
      <w:r>
        <w:fldChar w:fldCharType="end"/>
      </w:r>
    </w:p>
    <w:p>
      <w:pPr>
        <w:pStyle w:val="10"/>
        <w:tabs>
          <w:tab w:val="right" w:leader="dot" w:pos="8310"/>
        </w:tabs>
        <w:ind w:left="31680"/>
      </w:pPr>
      <w:r>
        <w:fldChar w:fldCharType="begin"/>
      </w:r>
      <w:r>
        <w:instrText xml:space="preserve"> HYPERLINK \l "_Toc6456" </w:instrText>
      </w:r>
      <w:r>
        <w:fldChar w:fldCharType="separate"/>
      </w:r>
      <w:r>
        <w:t xml:space="preserve">4.2 </w:t>
      </w:r>
      <w:r>
        <w:rPr>
          <w:rFonts w:hint="eastAsia"/>
        </w:rPr>
        <w:t>分级响应</w:t>
      </w:r>
      <w:r>
        <w:tab/>
      </w:r>
      <w:r>
        <w:fldChar w:fldCharType="end"/>
      </w:r>
    </w:p>
    <w:p>
      <w:pPr>
        <w:pStyle w:val="10"/>
        <w:tabs>
          <w:tab w:val="right" w:leader="dot" w:pos="8310"/>
        </w:tabs>
        <w:ind w:left="31680"/>
      </w:pPr>
      <w:r>
        <w:fldChar w:fldCharType="begin"/>
      </w:r>
      <w:r>
        <w:instrText xml:space="preserve"> HYPERLINK \l "_Toc19313" </w:instrText>
      </w:r>
      <w:r>
        <w:fldChar w:fldCharType="separate"/>
      </w:r>
      <w:r>
        <w:t xml:space="preserve">4.3 </w:t>
      </w:r>
      <w:r>
        <w:rPr>
          <w:rFonts w:hint="eastAsia"/>
        </w:rPr>
        <w:t>响应启动程序</w:t>
      </w:r>
      <w:r>
        <w:tab/>
      </w:r>
      <w:r>
        <w:fldChar w:fldCharType="end"/>
      </w:r>
    </w:p>
    <w:p>
      <w:pPr>
        <w:pStyle w:val="9"/>
        <w:tabs>
          <w:tab w:val="right" w:leader="dot" w:pos="8310"/>
          <w:tab w:val="clear" w:pos="9060"/>
        </w:tabs>
      </w:pPr>
      <w:r>
        <w:fldChar w:fldCharType="begin"/>
      </w:r>
      <w:r>
        <w:instrText xml:space="preserve"> HYPERLINK \l "_Toc4921" </w:instrText>
      </w:r>
      <w:r>
        <w:fldChar w:fldCharType="separate"/>
      </w:r>
      <w:r>
        <w:t xml:space="preserve">5  </w:t>
      </w:r>
      <w:r>
        <w:rPr>
          <w:rFonts w:hint="eastAsia"/>
        </w:rPr>
        <w:t>应急响应措施</w:t>
      </w:r>
      <w:r>
        <w:tab/>
      </w:r>
      <w:r>
        <w:fldChar w:fldCharType="end"/>
      </w:r>
    </w:p>
    <w:p>
      <w:pPr>
        <w:pStyle w:val="10"/>
        <w:tabs>
          <w:tab w:val="right" w:leader="dot" w:pos="8310"/>
        </w:tabs>
        <w:ind w:left="31680"/>
      </w:pPr>
      <w:r>
        <w:fldChar w:fldCharType="begin"/>
      </w:r>
      <w:r>
        <w:instrText xml:space="preserve"> HYPERLINK \l "_Toc23419" </w:instrText>
      </w:r>
      <w:r>
        <w:fldChar w:fldCharType="separate"/>
      </w:r>
      <w:r>
        <w:t xml:space="preserve">5.1 </w:t>
      </w:r>
      <w:r>
        <w:rPr>
          <w:rFonts w:hint="eastAsia"/>
        </w:rPr>
        <w:t>搜救人员</w:t>
      </w:r>
      <w:r>
        <w:tab/>
      </w:r>
      <w:r>
        <w:fldChar w:fldCharType="end"/>
      </w:r>
    </w:p>
    <w:p>
      <w:pPr>
        <w:pStyle w:val="10"/>
        <w:tabs>
          <w:tab w:val="right" w:leader="dot" w:pos="8310"/>
        </w:tabs>
        <w:ind w:left="31680"/>
      </w:pPr>
      <w:r>
        <w:fldChar w:fldCharType="begin"/>
      </w:r>
      <w:r>
        <w:instrText xml:space="preserve"> HYPERLINK \l "_Toc13080" </w:instrText>
      </w:r>
      <w:r>
        <w:fldChar w:fldCharType="separate"/>
      </w:r>
      <w:r>
        <w:t xml:space="preserve">5.2 </w:t>
      </w:r>
      <w:r>
        <w:rPr>
          <w:rFonts w:hint="eastAsia"/>
        </w:rPr>
        <w:t>开展医疗救治和卫生防疫</w:t>
      </w:r>
      <w:r>
        <w:tab/>
      </w:r>
      <w:r>
        <w:fldChar w:fldCharType="end"/>
      </w:r>
    </w:p>
    <w:p>
      <w:pPr>
        <w:pStyle w:val="10"/>
        <w:tabs>
          <w:tab w:val="right" w:leader="dot" w:pos="8310"/>
        </w:tabs>
        <w:ind w:left="31680"/>
      </w:pPr>
      <w:r>
        <w:fldChar w:fldCharType="begin"/>
      </w:r>
      <w:r>
        <w:instrText xml:space="preserve"> HYPERLINK \l "_Toc11659" </w:instrText>
      </w:r>
      <w:r>
        <w:fldChar w:fldCharType="separate"/>
      </w:r>
      <w:r>
        <w:t xml:space="preserve">5.3 </w:t>
      </w:r>
      <w:r>
        <w:rPr>
          <w:rFonts w:hint="eastAsia"/>
        </w:rPr>
        <w:t>安置受灾群众</w:t>
      </w:r>
      <w:r>
        <w:tab/>
      </w:r>
      <w:r>
        <w:fldChar w:fldCharType="end"/>
      </w:r>
    </w:p>
    <w:p>
      <w:pPr>
        <w:pStyle w:val="10"/>
        <w:tabs>
          <w:tab w:val="right" w:leader="dot" w:pos="8310"/>
        </w:tabs>
        <w:ind w:left="31680"/>
      </w:pPr>
      <w:r>
        <w:fldChar w:fldCharType="begin"/>
      </w:r>
      <w:r>
        <w:instrText xml:space="preserve"> HYPERLINK \l "_Toc17154" </w:instrText>
      </w:r>
      <w:r>
        <w:fldChar w:fldCharType="separate"/>
      </w:r>
      <w:r>
        <w:t xml:space="preserve">5.4 </w:t>
      </w:r>
      <w:r>
        <w:rPr>
          <w:rFonts w:hint="eastAsia"/>
        </w:rPr>
        <w:t>抢修基础设施</w:t>
      </w:r>
      <w:r>
        <w:tab/>
      </w:r>
      <w:r>
        <w:fldChar w:fldCharType="end"/>
      </w:r>
    </w:p>
    <w:p>
      <w:pPr>
        <w:pStyle w:val="10"/>
        <w:tabs>
          <w:tab w:val="right" w:leader="dot" w:pos="8310"/>
        </w:tabs>
        <w:ind w:left="31680"/>
      </w:pPr>
      <w:r>
        <w:fldChar w:fldCharType="begin"/>
      </w:r>
      <w:r>
        <w:instrText xml:space="preserve"> HYPERLINK \l "_Toc6682" </w:instrText>
      </w:r>
      <w:r>
        <w:fldChar w:fldCharType="separate"/>
      </w:r>
      <w:r>
        <w:t xml:space="preserve">5.5 </w:t>
      </w:r>
      <w:r>
        <w:rPr>
          <w:rFonts w:hint="eastAsia"/>
        </w:rPr>
        <w:t>加强现场监测</w:t>
      </w:r>
      <w:r>
        <w:tab/>
      </w:r>
      <w:r>
        <w:fldChar w:fldCharType="end"/>
      </w:r>
    </w:p>
    <w:p>
      <w:pPr>
        <w:pStyle w:val="10"/>
        <w:tabs>
          <w:tab w:val="right" w:leader="dot" w:pos="8310"/>
        </w:tabs>
        <w:ind w:left="31680"/>
      </w:pPr>
      <w:r>
        <w:fldChar w:fldCharType="begin"/>
      </w:r>
      <w:r>
        <w:instrText xml:space="preserve"> HYPERLINK \l "_Toc7305" </w:instrText>
      </w:r>
      <w:r>
        <w:fldChar w:fldCharType="separate"/>
      </w:r>
      <w:r>
        <w:t xml:space="preserve">5.6 </w:t>
      </w:r>
      <w:r>
        <w:rPr>
          <w:rFonts w:hint="eastAsia"/>
        </w:rPr>
        <w:t>防御次生灾害</w:t>
      </w:r>
      <w:r>
        <w:tab/>
      </w:r>
      <w:r>
        <w:fldChar w:fldCharType="end"/>
      </w:r>
    </w:p>
    <w:p>
      <w:pPr>
        <w:pStyle w:val="10"/>
        <w:tabs>
          <w:tab w:val="right" w:leader="dot" w:pos="8310"/>
        </w:tabs>
        <w:ind w:left="31680"/>
      </w:pPr>
      <w:r>
        <w:fldChar w:fldCharType="begin"/>
      </w:r>
      <w:r>
        <w:instrText xml:space="preserve"> HYPERLINK \l "_Toc21384" </w:instrText>
      </w:r>
      <w:r>
        <w:fldChar w:fldCharType="separate"/>
      </w:r>
      <w:r>
        <w:t xml:space="preserve">5.7 </w:t>
      </w:r>
      <w:r>
        <w:rPr>
          <w:rFonts w:hint="eastAsia"/>
        </w:rPr>
        <w:t>维护社会治安</w:t>
      </w:r>
      <w:r>
        <w:tab/>
      </w:r>
      <w:r>
        <w:fldChar w:fldCharType="end"/>
      </w:r>
    </w:p>
    <w:p>
      <w:pPr>
        <w:pStyle w:val="10"/>
        <w:tabs>
          <w:tab w:val="right" w:leader="dot" w:pos="8310"/>
        </w:tabs>
        <w:ind w:left="31680"/>
      </w:pPr>
      <w:r>
        <w:fldChar w:fldCharType="begin"/>
      </w:r>
      <w:r>
        <w:instrText xml:space="preserve"> HYPERLINK \l "_Toc13142" </w:instrText>
      </w:r>
      <w:r>
        <w:fldChar w:fldCharType="separate"/>
      </w:r>
      <w:r>
        <w:t xml:space="preserve">5.8 </w:t>
      </w:r>
      <w:r>
        <w:rPr>
          <w:rFonts w:hint="eastAsia"/>
        </w:rPr>
        <w:t>开展社会动员</w:t>
      </w:r>
      <w:r>
        <w:tab/>
      </w:r>
      <w:r>
        <w:fldChar w:fldCharType="end"/>
      </w:r>
    </w:p>
    <w:p>
      <w:pPr>
        <w:pStyle w:val="10"/>
        <w:tabs>
          <w:tab w:val="right" w:leader="dot" w:pos="8310"/>
        </w:tabs>
        <w:ind w:left="31680"/>
      </w:pPr>
      <w:r>
        <w:fldChar w:fldCharType="begin"/>
      </w:r>
      <w:r>
        <w:instrText xml:space="preserve"> HYPERLINK \l "_Toc1659" </w:instrText>
      </w:r>
      <w:r>
        <w:fldChar w:fldCharType="separate"/>
      </w:r>
      <w:r>
        <w:t xml:space="preserve">5.9 </w:t>
      </w:r>
      <w:r>
        <w:rPr>
          <w:rFonts w:hint="eastAsia"/>
        </w:rPr>
        <w:t>加强涉外事务管理</w:t>
      </w:r>
      <w:r>
        <w:tab/>
      </w:r>
      <w:r>
        <w:fldChar w:fldCharType="end"/>
      </w:r>
    </w:p>
    <w:p>
      <w:pPr>
        <w:pStyle w:val="10"/>
        <w:tabs>
          <w:tab w:val="right" w:leader="dot" w:pos="8310"/>
        </w:tabs>
        <w:ind w:left="31680"/>
      </w:pPr>
      <w:r>
        <w:fldChar w:fldCharType="begin"/>
      </w:r>
      <w:r>
        <w:instrText xml:space="preserve"> HYPERLINK \l "_Toc29330" </w:instrText>
      </w:r>
      <w:r>
        <w:fldChar w:fldCharType="separate"/>
      </w:r>
      <w:r>
        <w:t xml:space="preserve">5.10 </w:t>
      </w:r>
      <w:r>
        <w:rPr>
          <w:rFonts w:hint="eastAsia"/>
        </w:rPr>
        <w:t>信息发布</w:t>
      </w:r>
      <w:r>
        <w:tab/>
      </w:r>
      <w:r>
        <w:fldChar w:fldCharType="end"/>
      </w:r>
    </w:p>
    <w:p>
      <w:pPr>
        <w:pStyle w:val="10"/>
        <w:tabs>
          <w:tab w:val="right" w:leader="dot" w:pos="8310"/>
        </w:tabs>
        <w:ind w:left="31680"/>
      </w:pPr>
      <w:r>
        <w:fldChar w:fldCharType="begin"/>
      </w:r>
      <w:r>
        <w:instrText xml:space="preserve"> HYPERLINK \l "_Toc1576" </w:instrText>
      </w:r>
      <w:r>
        <w:fldChar w:fldCharType="separate"/>
      </w:r>
      <w:r>
        <w:t xml:space="preserve">5.11 </w:t>
      </w:r>
      <w:r>
        <w:rPr>
          <w:rFonts w:hint="eastAsia"/>
        </w:rPr>
        <w:t>灾害调查与评估</w:t>
      </w:r>
      <w:r>
        <w:tab/>
      </w:r>
      <w:r>
        <w:fldChar w:fldCharType="end"/>
      </w:r>
    </w:p>
    <w:p>
      <w:pPr>
        <w:pStyle w:val="10"/>
        <w:tabs>
          <w:tab w:val="right" w:leader="dot" w:pos="8310"/>
        </w:tabs>
        <w:ind w:left="31680"/>
      </w:pPr>
      <w:r>
        <w:fldChar w:fldCharType="begin"/>
      </w:r>
      <w:r>
        <w:instrText xml:space="preserve"> HYPERLINK \l "_Toc27271" </w:instrText>
      </w:r>
      <w:r>
        <w:fldChar w:fldCharType="separate"/>
      </w:r>
      <w:r>
        <w:t xml:space="preserve">5.12 </w:t>
      </w:r>
      <w:r>
        <w:rPr>
          <w:rFonts w:hint="eastAsia"/>
        </w:rPr>
        <w:t>应急结束</w:t>
      </w:r>
      <w:r>
        <w:tab/>
      </w:r>
      <w:r>
        <w:fldChar w:fldCharType="end"/>
      </w:r>
    </w:p>
    <w:p>
      <w:pPr>
        <w:pStyle w:val="9"/>
        <w:tabs>
          <w:tab w:val="right" w:leader="dot" w:pos="8310"/>
          <w:tab w:val="clear" w:pos="9060"/>
        </w:tabs>
      </w:pPr>
      <w:r>
        <w:fldChar w:fldCharType="begin"/>
      </w:r>
      <w:r>
        <w:instrText xml:space="preserve"> HYPERLINK \l "_Toc11252" </w:instrText>
      </w:r>
      <w:r>
        <w:fldChar w:fldCharType="separate"/>
      </w:r>
      <w:r>
        <w:t xml:space="preserve">6  </w:t>
      </w:r>
      <w:r>
        <w:rPr>
          <w:rFonts w:hint="eastAsia"/>
        </w:rPr>
        <w:t>指挥与协调</w:t>
      </w:r>
      <w:r>
        <w:tab/>
      </w:r>
      <w:r>
        <w:fldChar w:fldCharType="end"/>
      </w:r>
    </w:p>
    <w:p>
      <w:pPr>
        <w:pStyle w:val="10"/>
        <w:tabs>
          <w:tab w:val="right" w:leader="dot" w:pos="8310"/>
        </w:tabs>
        <w:ind w:left="31680"/>
      </w:pPr>
      <w:r>
        <w:fldChar w:fldCharType="begin"/>
      </w:r>
      <w:r>
        <w:instrText xml:space="preserve"> HYPERLINK \l "_Toc30784" </w:instrText>
      </w:r>
      <w:r>
        <w:fldChar w:fldCharType="separate"/>
      </w:r>
      <w:r>
        <w:t xml:space="preserve">6.1  </w:t>
      </w:r>
      <w:r>
        <w:rPr>
          <w:rFonts w:hint="eastAsia"/>
        </w:rPr>
        <w:t>特别重大地震灾害</w:t>
      </w:r>
      <w:r>
        <w:tab/>
      </w:r>
      <w:r>
        <w:fldChar w:fldCharType="end"/>
      </w:r>
    </w:p>
    <w:p>
      <w:pPr>
        <w:pStyle w:val="10"/>
        <w:tabs>
          <w:tab w:val="right" w:leader="dot" w:pos="8310"/>
        </w:tabs>
        <w:ind w:left="31680"/>
      </w:pPr>
      <w:r>
        <w:fldChar w:fldCharType="begin"/>
      </w:r>
      <w:r>
        <w:instrText xml:space="preserve"> HYPERLINK \l "_Toc3345" </w:instrText>
      </w:r>
      <w:r>
        <w:fldChar w:fldCharType="separate"/>
      </w:r>
      <w:r>
        <w:t xml:space="preserve">6.2 </w:t>
      </w:r>
      <w:r>
        <w:rPr>
          <w:rFonts w:hint="eastAsia"/>
        </w:rPr>
        <w:t>重大地震灾害</w:t>
      </w:r>
      <w:r>
        <w:tab/>
      </w:r>
      <w:r>
        <w:fldChar w:fldCharType="end"/>
      </w:r>
    </w:p>
    <w:p>
      <w:pPr>
        <w:pStyle w:val="10"/>
        <w:tabs>
          <w:tab w:val="right" w:leader="dot" w:pos="8310"/>
        </w:tabs>
        <w:ind w:left="31680"/>
      </w:pPr>
      <w:r>
        <w:fldChar w:fldCharType="begin"/>
      </w:r>
      <w:r>
        <w:instrText xml:space="preserve"> HYPERLINK \l "_Toc7987" </w:instrText>
      </w:r>
      <w:r>
        <w:fldChar w:fldCharType="separate"/>
      </w:r>
      <w:r>
        <w:t xml:space="preserve">6.3 </w:t>
      </w:r>
      <w:r>
        <w:rPr>
          <w:rFonts w:hint="eastAsia"/>
        </w:rPr>
        <w:t>较大、一般地震灾害</w:t>
      </w:r>
      <w:r>
        <w:tab/>
      </w:r>
      <w:r>
        <w:fldChar w:fldCharType="end"/>
      </w:r>
    </w:p>
    <w:p>
      <w:pPr>
        <w:pStyle w:val="9"/>
        <w:tabs>
          <w:tab w:val="right" w:leader="dot" w:pos="8310"/>
          <w:tab w:val="clear" w:pos="9060"/>
        </w:tabs>
      </w:pPr>
      <w:r>
        <w:fldChar w:fldCharType="begin"/>
      </w:r>
      <w:r>
        <w:instrText xml:space="preserve"> HYPERLINK \l "_Toc32253" </w:instrText>
      </w:r>
      <w:r>
        <w:fldChar w:fldCharType="separate"/>
      </w:r>
      <w:r>
        <w:t xml:space="preserve">7  </w:t>
      </w:r>
      <w:r>
        <w:rPr>
          <w:rFonts w:hint="eastAsia"/>
        </w:rPr>
        <w:t>恢复重建</w:t>
      </w:r>
      <w:r>
        <w:tab/>
      </w:r>
      <w:r>
        <w:fldChar w:fldCharType="end"/>
      </w:r>
    </w:p>
    <w:p>
      <w:pPr>
        <w:pStyle w:val="9"/>
        <w:tabs>
          <w:tab w:val="right" w:leader="dot" w:pos="8310"/>
          <w:tab w:val="clear" w:pos="9060"/>
        </w:tabs>
      </w:pPr>
      <w:r>
        <w:fldChar w:fldCharType="begin"/>
      </w:r>
      <w:r>
        <w:instrText xml:space="preserve"> HYPERLINK \l "_Toc19774" </w:instrText>
      </w:r>
      <w:r>
        <w:fldChar w:fldCharType="separate"/>
      </w:r>
      <w:r>
        <w:t xml:space="preserve">8  </w:t>
      </w:r>
      <w:r>
        <w:rPr>
          <w:rFonts w:hint="eastAsia"/>
        </w:rPr>
        <w:t>应急保障</w:t>
      </w:r>
      <w:r>
        <w:tab/>
      </w:r>
      <w:r>
        <w:fldChar w:fldCharType="end"/>
      </w:r>
    </w:p>
    <w:p>
      <w:pPr>
        <w:pStyle w:val="10"/>
        <w:tabs>
          <w:tab w:val="right" w:leader="dot" w:pos="8310"/>
        </w:tabs>
        <w:ind w:left="31680"/>
      </w:pPr>
      <w:r>
        <w:fldChar w:fldCharType="begin"/>
      </w:r>
      <w:r>
        <w:instrText xml:space="preserve"> HYPERLINK \l "_Toc23315" </w:instrText>
      </w:r>
      <w:r>
        <w:fldChar w:fldCharType="separate"/>
      </w:r>
      <w:r>
        <w:t xml:space="preserve">8.1 </w:t>
      </w:r>
      <w:r>
        <w:rPr>
          <w:rFonts w:hint="eastAsia"/>
        </w:rPr>
        <w:t>组织保障体系</w:t>
      </w:r>
      <w:r>
        <w:tab/>
      </w:r>
      <w:r>
        <w:fldChar w:fldCharType="end"/>
      </w:r>
    </w:p>
    <w:p>
      <w:pPr>
        <w:pStyle w:val="10"/>
        <w:tabs>
          <w:tab w:val="right" w:leader="dot" w:pos="8310"/>
        </w:tabs>
        <w:ind w:left="31680"/>
      </w:pPr>
      <w:r>
        <w:fldChar w:fldCharType="begin"/>
      </w:r>
      <w:r>
        <w:instrText xml:space="preserve"> HYPERLINK \l "_Toc17271" </w:instrText>
      </w:r>
      <w:r>
        <w:fldChar w:fldCharType="separate"/>
      </w:r>
      <w:r>
        <w:t xml:space="preserve">8.2 </w:t>
      </w:r>
      <w:r>
        <w:rPr>
          <w:rFonts w:hint="eastAsia"/>
        </w:rPr>
        <w:t>预案保障体系</w:t>
      </w:r>
      <w:r>
        <w:tab/>
      </w:r>
      <w:r>
        <w:fldChar w:fldCharType="end"/>
      </w:r>
    </w:p>
    <w:p>
      <w:pPr>
        <w:pStyle w:val="10"/>
        <w:tabs>
          <w:tab w:val="right" w:leader="dot" w:pos="8310"/>
        </w:tabs>
        <w:ind w:left="31680"/>
      </w:pPr>
      <w:r>
        <w:fldChar w:fldCharType="begin"/>
      </w:r>
      <w:r>
        <w:instrText xml:space="preserve"> HYPERLINK \l "_Toc1680" </w:instrText>
      </w:r>
      <w:r>
        <w:fldChar w:fldCharType="separate"/>
      </w:r>
      <w:r>
        <w:t xml:space="preserve">8.3 </w:t>
      </w:r>
      <w:r>
        <w:rPr>
          <w:rFonts w:hint="eastAsia"/>
        </w:rPr>
        <w:t>技术保障体系</w:t>
      </w:r>
      <w:r>
        <w:tab/>
      </w:r>
      <w:r>
        <w:fldChar w:fldCharType="end"/>
      </w:r>
    </w:p>
    <w:p>
      <w:pPr>
        <w:pStyle w:val="10"/>
        <w:tabs>
          <w:tab w:val="right" w:leader="dot" w:pos="8310"/>
        </w:tabs>
        <w:ind w:left="31680"/>
      </w:pPr>
      <w:r>
        <w:fldChar w:fldCharType="begin"/>
      </w:r>
      <w:r>
        <w:instrText xml:space="preserve"> HYPERLINK \l "_Toc29350" </w:instrText>
      </w:r>
      <w:r>
        <w:fldChar w:fldCharType="separate"/>
      </w:r>
      <w:r>
        <w:t xml:space="preserve">8.4 </w:t>
      </w:r>
      <w:r>
        <w:rPr>
          <w:rFonts w:hint="eastAsia"/>
        </w:rPr>
        <w:t>应急队伍保障</w:t>
      </w:r>
      <w:r>
        <w:tab/>
      </w:r>
      <w:r>
        <w:fldChar w:fldCharType="end"/>
      </w:r>
    </w:p>
    <w:p>
      <w:pPr>
        <w:pStyle w:val="10"/>
        <w:tabs>
          <w:tab w:val="right" w:leader="dot" w:pos="8310"/>
        </w:tabs>
        <w:ind w:left="31680"/>
      </w:pPr>
      <w:r>
        <w:fldChar w:fldCharType="begin"/>
      </w:r>
      <w:r>
        <w:instrText xml:space="preserve"> HYPERLINK \l "_Toc20400" </w:instrText>
      </w:r>
      <w:r>
        <w:fldChar w:fldCharType="separate"/>
      </w:r>
      <w:r>
        <w:t xml:space="preserve">8.5 </w:t>
      </w:r>
      <w:r>
        <w:rPr>
          <w:rFonts w:hint="eastAsia"/>
        </w:rPr>
        <w:t>通讯通信保障</w:t>
      </w:r>
      <w:r>
        <w:tab/>
      </w:r>
      <w:r>
        <w:fldChar w:fldCharType="end"/>
      </w:r>
    </w:p>
    <w:p>
      <w:pPr>
        <w:pStyle w:val="10"/>
        <w:tabs>
          <w:tab w:val="right" w:leader="dot" w:pos="8310"/>
        </w:tabs>
        <w:ind w:left="31680"/>
      </w:pPr>
      <w:r>
        <w:fldChar w:fldCharType="begin"/>
      </w:r>
      <w:r>
        <w:instrText xml:space="preserve"> HYPERLINK \l "_Toc20576" </w:instrText>
      </w:r>
      <w:r>
        <w:fldChar w:fldCharType="separate"/>
      </w:r>
      <w:r>
        <w:t xml:space="preserve">8.6 </w:t>
      </w:r>
      <w:r>
        <w:rPr>
          <w:rFonts w:hint="eastAsia"/>
        </w:rPr>
        <w:t>物资与资金保障</w:t>
      </w:r>
      <w:r>
        <w:tab/>
      </w:r>
      <w:r>
        <w:fldChar w:fldCharType="end"/>
      </w:r>
    </w:p>
    <w:p>
      <w:pPr>
        <w:pStyle w:val="10"/>
        <w:tabs>
          <w:tab w:val="right" w:leader="dot" w:pos="8310"/>
        </w:tabs>
        <w:ind w:left="31680"/>
      </w:pPr>
      <w:r>
        <w:fldChar w:fldCharType="begin"/>
      </w:r>
      <w:r>
        <w:instrText xml:space="preserve"> HYPERLINK \l "_Toc21462" </w:instrText>
      </w:r>
      <w:r>
        <w:fldChar w:fldCharType="separate"/>
      </w:r>
      <w:r>
        <w:t xml:space="preserve">8.7 </w:t>
      </w:r>
      <w:r>
        <w:rPr>
          <w:rFonts w:hint="eastAsia"/>
        </w:rPr>
        <w:t>应急避难场所保障</w:t>
      </w:r>
      <w:r>
        <w:tab/>
      </w:r>
      <w:r>
        <w:fldChar w:fldCharType="end"/>
      </w:r>
    </w:p>
    <w:p>
      <w:pPr>
        <w:pStyle w:val="10"/>
        <w:tabs>
          <w:tab w:val="right" w:leader="dot" w:pos="8310"/>
        </w:tabs>
        <w:ind w:left="31680"/>
      </w:pPr>
      <w:r>
        <w:fldChar w:fldCharType="begin"/>
      </w:r>
      <w:r>
        <w:instrText xml:space="preserve"> HYPERLINK \l "_Toc4631" </w:instrText>
      </w:r>
      <w:r>
        <w:fldChar w:fldCharType="separate"/>
      </w:r>
      <w:r>
        <w:t xml:space="preserve">8.8 </w:t>
      </w:r>
      <w:r>
        <w:rPr>
          <w:rFonts w:hint="eastAsia"/>
        </w:rPr>
        <w:t>交通后勤保障</w:t>
      </w:r>
      <w:r>
        <w:tab/>
      </w:r>
      <w:r>
        <w:fldChar w:fldCharType="end"/>
      </w:r>
    </w:p>
    <w:p>
      <w:pPr>
        <w:pStyle w:val="10"/>
        <w:tabs>
          <w:tab w:val="right" w:leader="dot" w:pos="8310"/>
        </w:tabs>
        <w:ind w:left="31680"/>
      </w:pPr>
      <w:r>
        <w:fldChar w:fldCharType="begin"/>
      </w:r>
      <w:r>
        <w:instrText xml:space="preserve"> HYPERLINK \l "_Toc12764" </w:instrText>
      </w:r>
      <w:r>
        <w:fldChar w:fldCharType="separate"/>
      </w:r>
      <w:r>
        <w:t xml:space="preserve">8.9 </w:t>
      </w:r>
      <w:r>
        <w:rPr>
          <w:rFonts w:hint="eastAsia"/>
        </w:rPr>
        <w:t>基本生活保障</w:t>
      </w:r>
      <w:r>
        <w:tab/>
      </w:r>
      <w:r>
        <w:fldChar w:fldCharType="end"/>
      </w:r>
    </w:p>
    <w:p>
      <w:pPr>
        <w:pStyle w:val="10"/>
        <w:tabs>
          <w:tab w:val="right" w:leader="dot" w:pos="8310"/>
        </w:tabs>
        <w:ind w:left="31680"/>
      </w:pPr>
      <w:r>
        <w:fldChar w:fldCharType="begin"/>
      </w:r>
      <w:r>
        <w:instrText xml:space="preserve"> HYPERLINK \l "_Toc26018" </w:instrText>
      </w:r>
      <w:r>
        <w:fldChar w:fldCharType="separate"/>
      </w:r>
      <w:r>
        <w:t xml:space="preserve">8.10 </w:t>
      </w:r>
      <w:r>
        <w:rPr>
          <w:rFonts w:hint="eastAsia"/>
        </w:rPr>
        <w:t>医疗卫生保障</w:t>
      </w:r>
      <w:r>
        <w:tab/>
      </w:r>
      <w:r>
        <w:fldChar w:fldCharType="end"/>
      </w:r>
    </w:p>
    <w:p>
      <w:pPr>
        <w:pStyle w:val="10"/>
        <w:tabs>
          <w:tab w:val="right" w:leader="dot" w:pos="8310"/>
        </w:tabs>
        <w:ind w:left="31680"/>
      </w:pPr>
      <w:r>
        <w:fldChar w:fldCharType="begin"/>
      </w:r>
      <w:r>
        <w:instrText xml:space="preserve"> HYPERLINK \l "_Toc26879" </w:instrText>
      </w:r>
      <w:r>
        <w:fldChar w:fldCharType="separate"/>
      </w:r>
      <w:r>
        <w:t xml:space="preserve">8.11 </w:t>
      </w:r>
      <w:r>
        <w:rPr>
          <w:rFonts w:hint="eastAsia"/>
        </w:rPr>
        <w:t>治安维护</w:t>
      </w:r>
      <w:r>
        <w:tab/>
      </w:r>
      <w:r>
        <w:fldChar w:fldCharType="end"/>
      </w:r>
    </w:p>
    <w:p>
      <w:pPr>
        <w:pStyle w:val="10"/>
        <w:tabs>
          <w:tab w:val="right" w:leader="dot" w:pos="8310"/>
        </w:tabs>
        <w:ind w:left="31680"/>
      </w:pPr>
      <w:r>
        <w:fldChar w:fldCharType="begin"/>
      </w:r>
      <w:r>
        <w:instrText xml:space="preserve"> HYPERLINK \l "_Toc15112" </w:instrText>
      </w:r>
      <w:r>
        <w:fldChar w:fldCharType="separate"/>
      </w:r>
      <w:r>
        <w:t xml:space="preserve">8.12 </w:t>
      </w:r>
      <w:r>
        <w:rPr>
          <w:rFonts w:hint="eastAsia"/>
        </w:rPr>
        <w:t>公众设施</w:t>
      </w:r>
      <w:r>
        <w:tab/>
      </w:r>
      <w:r>
        <w:fldChar w:fldCharType="end"/>
      </w:r>
    </w:p>
    <w:p>
      <w:pPr>
        <w:pStyle w:val="10"/>
        <w:tabs>
          <w:tab w:val="right" w:leader="dot" w:pos="8310"/>
        </w:tabs>
        <w:ind w:left="31680"/>
      </w:pPr>
      <w:r>
        <w:fldChar w:fldCharType="begin"/>
      </w:r>
      <w:r>
        <w:instrText xml:space="preserve"> HYPERLINK \l "_Toc18433" </w:instrText>
      </w:r>
      <w:r>
        <w:fldChar w:fldCharType="separate"/>
      </w:r>
      <w:r>
        <w:fldChar w:fldCharType="end"/>
      </w:r>
      <w:r>
        <w:fldChar w:fldCharType="begin"/>
      </w:r>
      <w:r>
        <w:instrText xml:space="preserve"> HYPERLINK \l "_Toc4493" </w:instrText>
      </w:r>
      <w:r>
        <w:fldChar w:fldCharType="separate"/>
      </w:r>
      <w:r>
        <w:t xml:space="preserve">8.13 </w:t>
      </w:r>
      <w:r>
        <w:rPr>
          <w:rFonts w:hint="eastAsia"/>
        </w:rPr>
        <w:t>宣传、培训保障</w:t>
      </w:r>
      <w:r>
        <w:tab/>
      </w:r>
      <w:r>
        <w:fldChar w:fldCharType="end"/>
      </w:r>
    </w:p>
    <w:p>
      <w:pPr>
        <w:pStyle w:val="9"/>
        <w:tabs>
          <w:tab w:val="right" w:leader="dot" w:pos="8310"/>
          <w:tab w:val="clear" w:pos="9060"/>
        </w:tabs>
      </w:pPr>
      <w:r>
        <w:fldChar w:fldCharType="begin"/>
      </w:r>
      <w:r>
        <w:instrText xml:space="preserve"> HYPERLINK \l "_Toc13937" </w:instrText>
      </w:r>
      <w:r>
        <w:fldChar w:fldCharType="separate"/>
      </w:r>
      <w:r>
        <w:t xml:space="preserve">9  </w:t>
      </w:r>
      <w:r>
        <w:rPr>
          <w:rFonts w:hint="eastAsia"/>
        </w:rPr>
        <w:t>附则</w:t>
      </w:r>
      <w:r>
        <w:tab/>
      </w:r>
      <w:r>
        <w:fldChar w:fldCharType="end"/>
      </w:r>
    </w:p>
    <w:p>
      <w:pPr>
        <w:pStyle w:val="10"/>
        <w:tabs>
          <w:tab w:val="right" w:leader="dot" w:pos="8310"/>
        </w:tabs>
        <w:ind w:left="31680"/>
      </w:pPr>
      <w:r>
        <w:fldChar w:fldCharType="begin"/>
      </w:r>
      <w:r>
        <w:instrText xml:space="preserve"> HYPERLINK \l "_Toc2651" </w:instrText>
      </w:r>
      <w:r>
        <w:fldChar w:fldCharType="separate"/>
      </w:r>
      <w:r>
        <w:t xml:space="preserve">9.1 </w:t>
      </w:r>
      <w:r>
        <w:rPr>
          <w:rFonts w:hint="eastAsia"/>
        </w:rPr>
        <w:t>预案管理</w:t>
      </w:r>
      <w:r>
        <w:tab/>
      </w:r>
      <w:r>
        <w:fldChar w:fldCharType="end"/>
      </w:r>
    </w:p>
    <w:p>
      <w:pPr>
        <w:pStyle w:val="10"/>
        <w:tabs>
          <w:tab w:val="right" w:leader="dot" w:pos="8310"/>
        </w:tabs>
        <w:ind w:left="31680"/>
      </w:pPr>
      <w:r>
        <w:fldChar w:fldCharType="begin"/>
      </w:r>
      <w:r>
        <w:instrText xml:space="preserve"> HYPERLINK \l "_Toc12614" </w:instrText>
      </w:r>
      <w:r>
        <w:fldChar w:fldCharType="separate"/>
      </w:r>
      <w:r>
        <w:t xml:space="preserve">9.2 </w:t>
      </w:r>
      <w:r>
        <w:rPr>
          <w:rFonts w:hint="eastAsia"/>
        </w:rPr>
        <w:t>预案修订</w:t>
      </w:r>
      <w:r>
        <w:tab/>
      </w:r>
      <w:r>
        <w:fldChar w:fldCharType="end"/>
      </w:r>
    </w:p>
    <w:p>
      <w:pPr>
        <w:pStyle w:val="10"/>
        <w:tabs>
          <w:tab w:val="right" w:leader="dot" w:pos="8310"/>
        </w:tabs>
        <w:ind w:left="31680"/>
      </w:pPr>
      <w:r>
        <w:fldChar w:fldCharType="begin"/>
      </w:r>
      <w:r>
        <w:instrText xml:space="preserve"> HYPERLINK \l "_Toc21820" </w:instrText>
      </w:r>
      <w:r>
        <w:fldChar w:fldCharType="separate"/>
      </w:r>
      <w:r>
        <w:t xml:space="preserve">9.3 </w:t>
      </w:r>
      <w:r>
        <w:rPr>
          <w:rFonts w:hint="eastAsia"/>
        </w:rPr>
        <w:t>预案解释</w:t>
      </w:r>
      <w:r>
        <w:tab/>
      </w:r>
      <w:r>
        <w:fldChar w:fldCharType="end"/>
      </w:r>
    </w:p>
    <w:p>
      <w:pPr>
        <w:pStyle w:val="10"/>
        <w:tabs>
          <w:tab w:val="right" w:leader="dot" w:pos="8310"/>
        </w:tabs>
        <w:ind w:left="31680"/>
      </w:pPr>
      <w:r>
        <w:fldChar w:fldCharType="begin"/>
      </w:r>
      <w:r>
        <w:instrText xml:space="preserve"> HYPERLINK \l "_Toc23846" </w:instrText>
      </w:r>
      <w:r>
        <w:fldChar w:fldCharType="separate"/>
      </w:r>
      <w:r>
        <w:t xml:space="preserve">9.4 </w:t>
      </w:r>
      <w:r>
        <w:rPr>
          <w:rFonts w:hint="eastAsia"/>
        </w:rPr>
        <w:t>预案实施时间</w:t>
      </w:r>
      <w:r>
        <w:tab/>
      </w:r>
      <w:r>
        <w:fldChar w:fldCharType="end"/>
      </w:r>
    </w:p>
    <w:p>
      <w:pPr>
        <w:pStyle w:val="9"/>
        <w:tabs>
          <w:tab w:val="right" w:leader="dot" w:pos="8310"/>
          <w:tab w:val="clear" w:pos="9060"/>
        </w:tabs>
        <w:rPr>
          <w:color w:val="000000"/>
          <w:szCs w:val="24"/>
        </w:rPr>
      </w:pPr>
      <w:r>
        <w:fldChar w:fldCharType="begin"/>
      </w:r>
      <w:r>
        <w:instrText xml:space="preserve"> HYPERLINK \l "_Toc28725" </w:instrText>
      </w:r>
      <w:r>
        <w:fldChar w:fldCharType="separate"/>
      </w:r>
      <w:r>
        <w:t xml:space="preserve">10  </w:t>
      </w:r>
      <w:r>
        <w:rPr>
          <w:rFonts w:hint="eastAsia"/>
        </w:rPr>
        <w:t>附件</w:t>
      </w:r>
      <w:r>
        <w:tab/>
      </w:r>
      <w:r>
        <w:fldChar w:fldCharType="end"/>
      </w:r>
      <w:r>
        <w:rPr>
          <w:color w:val="000000"/>
          <w:sz w:val="24"/>
          <w:szCs w:val="24"/>
        </w:rPr>
        <w:fldChar w:fldCharType="end"/>
      </w:r>
      <w:bookmarkStart w:id="0" w:name="_Toc10713"/>
    </w:p>
    <w:p>
      <w:pPr>
        <w:ind w:firstLine="31680"/>
        <w:rPr>
          <w:rFonts w:ascii="宋体" w:cs="宋体"/>
          <w:color w:val="000000"/>
          <w:szCs w:val="24"/>
        </w:rPr>
      </w:pPr>
      <w:r>
        <w:rPr>
          <w:rFonts w:ascii="宋体" w:cs="宋体"/>
          <w:color w:val="000000"/>
          <w:szCs w:val="24"/>
        </w:rPr>
        <w:br w:type="page"/>
      </w:r>
    </w:p>
    <w:p>
      <w:pPr>
        <w:pStyle w:val="3"/>
        <w:rPr>
          <w:rFonts w:ascii="宋体" w:cs="宋体"/>
          <w:color w:val="000000"/>
          <w:kern w:val="44"/>
          <w:sz w:val="28"/>
          <w:szCs w:val="28"/>
          <w:lang w:val="en-US" w:bidi="ar-SA"/>
        </w:rPr>
      </w:pPr>
      <w:bookmarkStart w:id="1" w:name="_Toc22715"/>
      <w:r>
        <w:rPr>
          <w:rFonts w:ascii="宋体" w:hAnsi="宋体" w:cs="宋体"/>
          <w:color w:val="000000"/>
          <w:kern w:val="44"/>
          <w:sz w:val="28"/>
          <w:szCs w:val="28"/>
          <w:lang w:val="en-US" w:bidi="ar-SA"/>
        </w:rPr>
        <w:t xml:space="preserve">1  </w:t>
      </w:r>
      <w:r>
        <w:rPr>
          <w:rFonts w:hint="eastAsia" w:ascii="宋体" w:hAnsi="宋体" w:cs="宋体"/>
          <w:color w:val="000000"/>
          <w:kern w:val="44"/>
          <w:sz w:val="28"/>
          <w:szCs w:val="28"/>
          <w:lang w:val="en-US" w:bidi="ar-SA"/>
        </w:rPr>
        <w:t>总则</w:t>
      </w:r>
      <w:bookmarkEnd w:id="0"/>
      <w:bookmarkEnd w:id="1"/>
    </w:p>
    <w:p>
      <w:pPr>
        <w:pStyle w:val="4"/>
        <w:rPr>
          <w:rFonts w:ascii="宋体" w:cs="宋体"/>
          <w:lang w:val="en-US"/>
        </w:rPr>
      </w:pPr>
      <w:bookmarkStart w:id="2" w:name="_bookmark1"/>
      <w:bookmarkEnd w:id="2"/>
      <w:bookmarkStart w:id="3" w:name="BM1_1_编制目的"/>
      <w:bookmarkEnd w:id="3"/>
      <w:bookmarkStart w:id="4" w:name="_Toc16064"/>
      <w:r>
        <w:rPr>
          <w:rFonts w:ascii="宋体" w:hAnsi="宋体" w:cs="宋体"/>
          <w:lang w:val="en-US"/>
        </w:rPr>
        <w:t xml:space="preserve">1.1 </w:t>
      </w:r>
      <w:r>
        <w:rPr>
          <w:rFonts w:hint="eastAsia" w:ascii="宋体" w:hAnsi="宋体" w:cs="宋体"/>
          <w:lang w:val="en-US"/>
        </w:rPr>
        <w:t>编制目的</w:t>
      </w:r>
      <w:bookmarkEnd w:id="4"/>
    </w:p>
    <w:p>
      <w:pPr>
        <w:ind w:firstLine="31680"/>
        <w:rPr>
          <w:rFonts w:ascii="宋体" w:cs="宋体"/>
          <w:color w:val="000000"/>
        </w:rPr>
      </w:pPr>
      <w:r>
        <w:rPr>
          <w:rFonts w:hint="eastAsia" w:ascii="宋体" w:hAnsi="宋体" w:cs="宋体"/>
        </w:rPr>
        <w:t>为了全面贯彻落实习近平总书记关于防灾减灾救灾的重要论述精神，明确各级人民政府和相关部门在地震应急工作中的职责和地位，高效、有序地组织开展地震应急处置工作，最大限度地减轻地震灾害损失，维护社会稳定，制定本预案。</w:t>
      </w:r>
    </w:p>
    <w:p>
      <w:pPr>
        <w:pStyle w:val="4"/>
        <w:rPr>
          <w:rFonts w:ascii="宋体" w:cs="宋体"/>
          <w:lang w:val="en-US"/>
        </w:rPr>
      </w:pPr>
      <w:bookmarkStart w:id="5" w:name="BM1_2_编制依据"/>
      <w:bookmarkEnd w:id="5"/>
      <w:bookmarkStart w:id="6" w:name="_bookmark2"/>
      <w:bookmarkEnd w:id="6"/>
      <w:bookmarkStart w:id="7" w:name="_Toc30401"/>
      <w:r>
        <w:rPr>
          <w:rFonts w:ascii="宋体" w:hAnsi="宋体" w:cs="宋体"/>
          <w:lang w:val="en-US"/>
        </w:rPr>
        <w:t xml:space="preserve">1.2 </w:t>
      </w:r>
      <w:r>
        <w:rPr>
          <w:rFonts w:hint="eastAsia" w:ascii="宋体" w:hAnsi="宋体" w:cs="宋体"/>
          <w:lang w:val="en-US"/>
        </w:rPr>
        <w:t>编制依据</w:t>
      </w:r>
      <w:bookmarkEnd w:id="7"/>
    </w:p>
    <w:p>
      <w:pPr>
        <w:numPr>
          <w:ilvl w:val="0"/>
          <w:numId w:val="1"/>
        </w:numPr>
        <w:ind w:firstLineChars="0"/>
        <w:rPr>
          <w:rFonts w:ascii="宋体" w:cs="宋体"/>
        </w:rPr>
      </w:pPr>
      <w:r>
        <w:rPr>
          <w:rFonts w:hint="eastAsia" w:ascii="宋体" w:hAnsi="宋体" w:cs="宋体"/>
        </w:rPr>
        <w:t>《中华人民共和国突发事件应对法》；</w:t>
      </w:r>
    </w:p>
    <w:p>
      <w:pPr>
        <w:numPr>
          <w:ilvl w:val="0"/>
          <w:numId w:val="1"/>
        </w:numPr>
        <w:ind w:firstLineChars="0"/>
        <w:rPr>
          <w:rFonts w:ascii="宋体" w:cs="宋体"/>
        </w:rPr>
      </w:pPr>
      <w:r>
        <w:rPr>
          <w:rFonts w:hint="eastAsia" w:ascii="宋体" w:hAnsi="宋体" w:cs="宋体"/>
        </w:rPr>
        <w:t>《中华人民共和国防震减灾法》；</w:t>
      </w:r>
    </w:p>
    <w:p>
      <w:pPr>
        <w:numPr>
          <w:ilvl w:val="0"/>
          <w:numId w:val="1"/>
        </w:numPr>
        <w:ind w:firstLineChars="0"/>
        <w:rPr>
          <w:rFonts w:ascii="宋体" w:cs="宋体"/>
        </w:rPr>
      </w:pPr>
      <w:r>
        <w:rPr>
          <w:rFonts w:hint="eastAsia" w:ascii="宋体" w:hAnsi="宋体" w:cs="宋体"/>
        </w:rPr>
        <w:t>《国家突发公共事件总体应急预案》；</w:t>
      </w:r>
    </w:p>
    <w:p>
      <w:pPr>
        <w:numPr>
          <w:ilvl w:val="0"/>
          <w:numId w:val="1"/>
        </w:numPr>
        <w:ind w:firstLineChars="0"/>
        <w:rPr>
          <w:rFonts w:ascii="宋体" w:cs="宋体"/>
        </w:rPr>
      </w:pPr>
      <w:r>
        <w:rPr>
          <w:rFonts w:hint="eastAsia" w:ascii="宋体" w:hAnsi="宋体" w:cs="宋体"/>
        </w:rPr>
        <w:t>《破坏性地震应急条例》；</w:t>
      </w:r>
    </w:p>
    <w:p>
      <w:pPr>
        <w:numPr>
          <w:ilvl w:val="0"/>
          <w:numId w:val="1"/>
        </w:numPr>
        <w:ind w:firstLineChars="0"/>
        <w:rPr>
          <w:rFonts w:ascii="宋体" w:cs="宋体"/>
        </w:rPr>
      </w:pPr>
      <w:r>
        <w:rPr>
          <w:rFonts w:hint="eastAsia" w:ascii="宋体" w:hAnsi="宋体" w:cs="宋体"/>
        </w:rPr>
        <w:t>《内蒙古自治区防震减灾条例》；</w:t>
      </w:r>
    </w:p>
    <w:p>
      <w:pPr>
        <w:numPr>
          <w:ilvl w:val="0"/>
          <w:numId w:val="1"/>
        </w:numPr>
        <w:ind w:firstLineChars="0"/>
        <w:rPr>
          <w:rFonts w:ascii="宋体" w:cs="宋体"/>
        </w:rPr>
      </w:pPr>
      <w:r>
        <w:rPr>
          <w:rFonts w:hint="eastAsia" w:ascii="宋体" w:hAnsi="宋体" w:cs="宋体"/>
        </w:rPr>
        <w:t>《内蒙古自治区突发公共事件总体应急预案》；</w:t>
      </w:r>
    </w:p>
    <w:p>
      <w:pPr>
        <w:numPr>
          <w:ilvl w:val="0"/>
          <w:numId w:val="1"/>
        </w:numPr>
        <w:ind w:firstLineChars="0"/>
        <w:rPr>
          <w:rFonts w:ascii="宋体" w:cs="宋体"/>
        </w:rPr>
      </w:pPr>
      <w:r>
        <w:rPr>
          <w:rFonts w:hint="eastAsia" w:ascii="宋体" w:hAnsi="宋体" w:cs="宋体"/>
        </w:rPr>
        <w:t>《内蒙古自治区地震应急预案》；</w:t>
      </w:r>
    </w:p>
    <w:p>
      <w:pPr>
        <w:numPr>
          <w:ilvl w:val="0"/>
          <w:numId w:val="1"/>
        </w:numPr>
        <w:ind w:firstLineChars="0"/>
        <w:rPr>
          <w:rFonts w:ascii="宋体" w:cs="宋体"/>
        </w:rPr>
      </w:pPr>
      <w:r>
        <w:rPr>
          <w:rFonts w:hint="eastAsia" w:ascii="宋体" w:hAnsi="宋体" w:cs="宋体"/>
        </w:rPr>
        <w:t>《赤峰市地震应急预案》；</w:t>
      </w:r>
    </w:p>
    <w:p>
      <w:pPr>
        <w:pStyle w:val="2"/>
        <w:rPr>
          <w:rFonts w:ascii="宋体" w:hAnsi="宋体" w:eastAsia="宋体"/>
          <w:sz w:val="28"/>
          <w:szCs w:val="28"/>
        </w:rPr>
      </w:pPr>
      <w:r>
        <w:t xml:space="preserve"> </w:t>
      </w:r>
      <w:r>
        <w:rPr>
          <w:rFonts w:ascii="宋体" w:hAnsi="宋体" w:eastAsia="宋体"/>
          <w:sz w:val="28"/>
          <w:szCs w:val="28"/>
        </w:rPr>
        <w:t xml:space="preserve">  9</w:t>
      </w:r>
      <w:r>
        <w:rPr>
          <w:rFonts w:hint="eastAsia" w:ascii="宋体" w:hAnsi="宋体" w:eastAsia="宋体"/>
          <w:sz w:val="28"/>
          <w:szCs w:val="28"/>
        </w:rPr>
        <w:t>、《巴林左旗</w:t>
      </w:r>
      <w:r>
        <w:rPr>
          <w:rFonts w:hint="eastAsia" w:ascii="宋体" w:hAnsi="宋体" w:eastAsia="宋体" w:cs="宋体"/>
          <w:sz w:val="28"/>
          <w:szCs w:val="28"/>
        </w:rPr>
        <w:t>地震应急预案</w:t>
      </w:r>
      <w:r>
        <w:rPr>
          <w:rFonts w:hint="eastAsia" w:ascii="宋体" w:hAnsi="宋体" w:eastAsia="宋体"/>
          <w:sz w:val="28"/>
          <w:szCs w:val="28"/>
        </w:rPr>
        <w:t>》。</w:t>
      </w:r>
    </w:p>
    <w:p>
      <w:pPr>
        <w:pStyle w:val="4"/>
        <w:rPr>
          <w:rFonts w:ascii="宋体" w:cs="宋体"/>
          <w:lang w:val="en-US"/>
        </w:rPr>
      </w:pPr>
      <w:bookmarkStart w:id="8" w:name="BM1_3_适用范围"/>
      <w:bookmarkEnd w:id="8"/>
      <w:bookmarkStart w:id="9" w:name="_bookmark3"/>
      <w:bookmarkEnd w:id="9"/>
      <w:bookmarkStart w:id="10" w:name="_Toc32642"/>
      <w:r>
        <w:rPr>
          <w:rFonts w:ascii="宋体" w:hAnsi="宋体" w:cs="宋体"/>
          <w:lang w:val="en-US"/>
        </w:rPr>
        <w:t xml:space="preserve">1.3 </w:t>
      </w:r>
      <w:r>
        <w:rPr>
          <w:rFonts w:hint="eastAsia" w:ascii="宋体" w:hAnsi="宋体" w:cs="宋体"/>
          <w:lang w:val="en-US"/>
        </w:rPr>
        <w:t>适用范围</w:t>
      </w:r>
      <w:bookmarkEnd w:id="10"/>
    </w:p>
    <w:p>
      <w:pPr>
        <w:ind w:firstLine="31680"/>
        <w:rPr>
          <w:rFonts w:ascii="宋体" w:cs="宋体"/>
        </w:rPr>
      </w:pPr>
      <w:r>
        <w:rPr>
          <w:rFonts w:hint="eastAsia" w:ascii="宋体" w:hAnsi="宋体" w:cs="宋体"/>
        </w:rPr>
        <w:t>本预案适用于发生在我镇境内的地震灾害事件、周边地区波及我镇的地震灾害事件及其它地震事件。</w:t>
      </w:r>
    </w:p>
    <w:p>
      <w:pPr>
        <w:pStyle w:val="4"/>
        <w:rPr>
          <w:rFonts w:ascii="宋体" w:cs="宋体"/>
          <w:lang w:val="en-US"/>
        </w:rPr>
      </w:pPr>
      <w:bookmarkStart w:id="11" w:name="BM1_4_工作原则"/>
      <w:bookmarkEnd w:id="11"/>
      <w:bookmarkStart w:id="12" w:name="_bookmark4"/>
      <w:bookmarkEnd w:id="12"/>
      <w:bookmarkStart w:id="13" w:name="_Toc17955"/>
      <w:r>
        <w:rPr>
          <w:rFonts w:ascii="宋体" w:hAnsi="宋体" w:cs="宋体"/>
          <w:lang w:val="en-US"/>
        </w:rPr>
        <w:t xml:space="preserve">1.4 </w:t>
      </w:r>
      <w:r>
        <w:rPr>
          <w:rFonts w:hint="eastAsia" w:ascii="宋体" w:hAnsi="宋体" w:cs="宋体"/>
          <w:lang w:val="en-US"/>
        </w:rPr>
        <w:t>工作原则</w:t>
      </w:r>
      <w:bookmarkEnd w:id="13"/>
    </w:p>
    <w:p>
      <w:pPr>
        <w:ind w:firstLine="31680"/>
        <w:rPr>
          <w:rFonts w:ascii="宋体" w:cs="宋体"/>
        </w:rPr>
      </w:pPr>
      <w:r>
        <w:rPr>
          <w:rFonts w:ascii="宋体" w:hAnsi="宋体" w:cs="宋体"/>
        </w:rPr>
        <w:t>1</w:t>
      </w:r>
      <w:r>
        <w:rPr>
          <w:rFonts w:hint="eastAsia" w:ascii="宋体" w:hAnsi="宋体" w:cs="宋体"/>
        </w:rPr>
        <w:t>、统一领导</w:t>
      </w:r>
    </w:p>
    <w:p>
      <w:pPr>
        <w:ind w:firstLine="31680"/>
        <w:rPr>
          <w:rFonts w:ascii="宋体" w:cs="宋体"/>
        </w:rPr>
      </w:pPr>
      <w:r>
        <w:rPr>
          <w:rFonts w:hint="eastAsia" w:ascii="宋体" w:hAnsi="宋体" w:cs="宋体"/>
        </w:rPr>
        <w:t>在中共富河镇委员会、富河镇人民政府领导下，镇抗震救灾指挥部负责指挥、部署、协调地震应急处置工作。</w:t>
      </w:r>
    </w:p>
    <w:p>
      <w:pPr>
        <w:ind w:firstLine="31680"/>
        <w:rPr>
          <w:rFonts w:ascii="宋体" w:cs="宋体"/>
        </w:rPr>
      </w:pPr>
      <w:bookmarkStart w:id="14" w:name="_bookmark5"/>
      <w:bookmarkEnd w:id="14"/>
      <w:bookmarkStart w:id="15" w:name="BM1_5_工作目标"/>
      <w:bookmarkEnd w:id="15"/>
      <w:bookmarkStart w:id="16" w:name="_Toc18758"/>
      <w:r>
        <w:rPr>
          <w:rFonts w:ascii="宋体" w:hAnsi="宋体" w:cs="宋体"/>
        </w:rPr>
        <w:t>2</w:t>
      </w:r>
      <w:r>
        <w:rPr>
          <w:rFonts w:hint="eastAsia" w:ascii="宋体" w:hAnsi="宋体" w:cs="宋体"/>
        </w:rPr>
        <w:t>、分级负责</w:t>
      </w:r>
    </w:p>
    <w:p>
      <w:pPr>
        <w:ind w:firstLine="31680"/>
        <w:rPr>
          <w:rFonts w:ascii="宋体" w:cs="宋体"/>
        </w:rPr>
      </w:pPr>
      <w:r>
        <w:rPr>
          <w:rFonts w:hint="eastAsia" w:ascii="宋体" w:hAnsi="宋体" w:cs="宋体"/>
        </w:rPr>
        <w:t>根据地震事件的类型和地震灾害的严重程度，在富河镇人民政府的领导下，由镇人民政府和各行政村负责地震应急处置工作。</w:t>
      </w:r>
    </w:p>
    <w:p>
      <w:pPr>
        <w:ind w:firstLine="31680"/>
        <w:rPr>
          <w:rFonts w:ascii="宋体" w:cs="宋体"/>
        </w:rPr>
      </w:pPr>
      <w:r>
        <w:rPr>
          <w:rFonts w:ascii="宋体" w:hAnsi="宋体" w:cs="宋体"/>
        </w:rPr>
        <w:t>3</w:t>
      </w:r>
      <w:r>
        <w:rPr>
          <w:rFonts w:hint="eastAsia" w:ascii="宋体" w:hAnsi="宋体" w:cs="宋体"/>
        </w:rPr>
        <w:t>、综合协调</w:t>
      </w:r>
    </w:p>
    <w:p>
      <w:pPr>
        <w:ind w:firstLine="31680"/>
        <w:rPr>
          <w:rFonts w:ascii="宋体" w:cs="宋体"/>
        </w:rPr>
      </w:pPr>
      <w:r>
        <w:rPr>
          <w:rFonts w:hint="eastAsia" w:ascii="宋体" w:hAnsi="宋体" w:cs="宋体"/>
        </w:rPr>
        <w:t>镇抗震救灾指挥部协调人武部等有关部门，共同开展我镇的抗震救灾工作。</w:t>
      </w:r>
    </w:p>
    <w:p>
      <w:pPr>
        <w:ind w:firstLine="31680"/>
        <w:rPr>
          <w:rFonts w:ascii="宋体" w:cs="宋体"/>
        </w:rPr>
      </w:pPr>
      <w:r>
        <w:rPr>
          <w:rFonts w:ascii="宋体" w:hAnsi="宋体" w:cs="宋体"/>
        </w:rPr>
        <w:t>4</w:t>
      </w:r>
      <w:r>
        <w:rPr>
          <w:rFonts w:hint="eastAsia" w:ascii="宋体" w:hAnsi="宋体" w:cs="宋体"/>
        </w:rPr>
        <w:t>、属地管理</w:t>
      </w:r>
    </w:p>
    <w:p>
      <w:pPr>
        <w:ind w:firstLine="31680"/>
        <w:rPr>
          <w:rFonts w:ascii="宋体" w:cs="宋体"/>
        </w:rPr>
      </w:pPr>
      <w:r>
        <w:rPr>
          <w:rFonts w:hint="eastAsia" w:ascii="宋体" w:hAnsi="宋体" w:cs="宋体"/>
        </w:rPr>
        <w:t>镇人民政府负责统一领导、指挥和协调镇内地震应急处置工作。驻镇机构、企事业单位、社会团体，参加抗震救灾工作的救援队伍或救助团体，在镇抗震救灾指挥机构的领导、指挥下开展抗震救灾相关工作。</w:t>
      </w:r>
    </w:p>
    <w:p>
      <w:pPr>
        <w:pStyle w:val="3"/>
        <w:rPr>
          <w:rFonts w:ascii="宋体" w:cs="宋体"/>
          <w:lang w:val="en-US" w:bidi="ar-SA"/>
        </w:rPr>
      </w:pPr>
      <w:bookmarkStart w:id="17" w:name="_Toc13820"/>
      <w:r>
        <w:rPr>
          <w:rFonts w:ascii="宋体" w:hAnsi="宋体" w:cs="宋体"/>
          <w:lang w:val="en-US" w:bidi="ar-SA"/>
        </w:rPr>
        <w:t xml:space="preserve">2  </w:t>
      </w:r>
      <w:bookmarkEnd w:id="16"/>
      <w:r>
        <w:rPr>
          <w:rFonts w:hint="eastAsia" w:ascii="宋体" w:hAnsi="宋体" w:cs="宋体"/>
          <w:lang w:val="en-US" w:bidi="ar-SA"/>
        </w:rPr>
        <w:t>组织体系及职责</w:t>
      </w:r>
      <w:bookmarkEnd w:id="17"/>
    </w:p>
    <w:p>
      <w:pPr>
        <w:pStyle w:val="4"/>
        <w:rPr>
          <w:rFonts w:ascii="宋体" w:cs="宋体"/>
          <w:lang w:val="en-US"/>
        </w:rPr>
      </w:pPr>
      <w:bookmarkStart w:id="18" w:name="_Toc10224"/>
      <w:r>
        <w:rPr>
          <w:rFonts w:ascii="宋体" w:hAnsi="宋体" w:cs="宋体"/>
          <w:lang w:val="en-US"/>
        </w:rPr>
        <w:t xml:space="preserve">2.1 </w:t>
      </w:r>
      <w:r>
        <w:rPr>
          <w:rFonts w:hint="eastAsia" w:ascii="宋体" w:hAnsi="宋体" w:cs="宋体"/>
          <w:lang w:val="en-US"/>
        </w:rPr>
        <w:t>领导机构及职责</w:t>
      </w:r>
      <w:bookmarkEnd w:id="18"/>
    </w:p>
    <w:p>
      <w:pPr>
        <w:ind w:firstLine="31680"/>
        <w:rPr>
          <w:rFonts w:ascii="宋体" w:cs="宋体"/>
        </w:rPr>
      </w:pPr>
      <w:r>
        <w:rPr>
          <w:rFonts w:hint="eastAsia" w:ascii="宋体" w:hAnsi="宋体" w:cs="宋体"/>
        </w:rPr>
        <w:t>镇人民政府是富河镇行政区域内地震应急处置工作的行政领导机构，负责指挥协调全镇防震减灾工作。</w:t>
      </w:r>
      <w:bookmarkStart w:id="19" w:name="_bookmark8"/>
      <w:bookmarkEnd w:id="19"/>
      <w:bookmarkStart w:id="20" w:name="_bookmark7"/>
      <w:bookmarkEnd w:id="20"/>
      <w:bookmarkStart w:id="21" w:name="BM2_2旗县（市、区）防汛抗旱指挥部"/>
      <w:bookmarkEnd w:id="21"/>
      <w:bookmarkStart w:id="22" w:name="BM2_1锡林郭勒盟防汛抗旱指挥部"/>
      <w:bookmarkEnd w:id="22"/>
      <w:r>
        <w:rPr>
          <w:rFonts w:hint="eastAsia" w:ascii="宋体" w:hAnsi="宋体" w:cs="宋体"/>
        </w:rPr>
        <w:t>镇抗震救灾指挥部是富河镇行政区域内地震应急处置工作的指挥机构，在富河镇人民政府的领导下，负责统一指挥、协调、部署全镇地震应急处置工作。</w:t>
      </w:r>
    </w:p>
    <w:p>
      <w:pPr>
        <w:pStyle w:val="4"/>
        <w:rPr>
          <w:rFonts w:ascii="宋体" w:cs="宋体"/>
          <w:lang w:val="en-US"/>
        </w:rPr>
      </w:pPr>
      <w:bookmarkStart w:id="23" w:name="_Toc10122"/>
      <w:r>
        <w:rPr>
          <w:rFonts w:ascii="宋体" w:hAnsi="宋体" w:cs="宋体"/>
          <w:lang w:val="en-US"/>
        </w:rPr>
        <w:t xml:space="preserve">2.2 </w:t>
      </w:r>
      <w:r>
        <w:rPr>
          <w:rFonts w:hint="eastAsia" w:ascii="宋体" w:hAnsi="宋体" w:cs="宋体"/>
          <w:lang w:val="en-US"/>
        </w:rPr>
        <w:t>抗震救灾指挥机构及职责</w:t>
      </w:r>
      <w:bookmarkEnd w:id="23"/>
    </w:p>
    <w:p>
      <w:pPr>
        <w:ind w:firstLine="31680"/>
        <w:rPr>
          <w:rFonts w:ascii="宋体" w:cs="宋体"/>
        </w:rPr>
      </w:pPr>
      <w:r>
        <w:rPr>
          <w:rFonts w:ascii="宋体" w:hAnsi="宋体" w:cs="宋体"/>
        </w:rPr>
        <w:t>1</w:t>
      </w:r>
      <w:r>
        <w:rPr>
          <w:rFonts w:hint="eastAsia" w:ascii="宋体" w:hAnsi="宋体" w:cs="宋体"/>
        </w:rPr>
        <w:t>、抗震救灾指挥部构成</w:t>
      </w:r>
    </w:p>
    <w:p>
      <w:pPr>
        <w:ind w:firstLine="31680"/>
        <w:rPr>
          <w:rFonts w:ascii="宋体" w:cs="宋体"/>
        </w:rPr>
      </w:pPr>
      <w:r>
        <w:rPr>
          <w:rFonts w:hint="eastAsia" w:ascii="宋体" w:hAnsi="宋体" w:cs="宋体"/>
        </w:rPr>
        <w:t>抗震救灾指挥部指挥长：镇党委书记、镇政府镇长</w:t>
      </w:r>
    </w:p>
    <w:p>
      <w:pPr>
        <w:ind w:firstLine="31680"/>
        <w:rPr>
          <w:rFonts w:ascii="宋体" w:cs="宋体"/>
        </w:rPr>
      </w:pPr>
      <w:r>
        <w:rPr>
          <w:rFonts w:hint="eastAsia" w:ascii="宋体" w:hAnsi="宋体" w:cs="宋体"/>
        </w:rPr>
        <w:t>抗震救灾指挥部执行指挥长：镇政府分管镇长</w:t>
      </w:r>
    </w:p>
    <w:p>
      <w:pPr>
        <w:ind w:firstLine="31680"/>
        <w:rPr>
          <w:rFonts w:ascii="宋体" w:cs="宋体"/>
        </w:rPr>
      </w:pPr>
      <w:r>
        <w:rPr>
          <w:rFonts w:hint="eastAsia" w:ascii="宋体" w:hAnsi="宋体" w:cs="宋体"/>
        </w:rPr>
        <w:t>抗震救灾指挥部副指挥长：镇党政领导班子其它成员</w:t>
      </w:r>
    </w:p>
    <w:p>
      <w:pPr>
        <w:ind w:firstLine="31680"/>
        <w:rPr>
          <w:rFonts w:ascii="宋体" w:cs="宋体"/>
        </w:rPr>
      </w:pPr>
      <w:r>
        <w:rPr>
          <w:rFonts w:hint="eastAsia" w:ascii="宋体" w:hAnsi="宋体" w:cs="宋体"/>
        </w:rPr>
        <w:t>成员单位：镇人武部、镇党政综合办公室、镇综合行政执法局、镇党群服务中心、镇综合保障和技术推广中心、镇基层党的建设办公室、镇乡村振兴办公室、镇社会事务办公室、镇平安建设办公室、富河镇市场监督管理所、富河国家气象观测站、镇派出所、浩尔吐邮政支局、富河镇供电所、浩尔吐</w:t>
      </w:r>
      <w:r>
        <w:rPr>
          <w:rFonts w:hint="eastAsia"/>
        </w:rPr>
        <w:t>联通营业所、浩尔吐道班、富河小学</w:t>
      </w:r>
      <w:r>
        <w:rPr>
          <w:rFonts w:hint="eastAsia" w:ascii="宋体" w:hAnsi="宋体" w:cs="宋体"/>
        </w:rPr>
        <w:t>。</w:t>
      </w:r>
    </w:p>
    <w:p>
      <w:pPr>
        <w:ind w:firstLine="31680"/>
        <w:rPr>
          <w:rFonts w:ascii="宋体" w:cs="宋体"/>
        </w:rPr>
      </w:pPr>
      <w:r>
        <w:rPr>
          <w:rFonts w:ascii="宋体" w:hAnsi="宋体" w:cs="宋体"/>
        </w:rPr>
        <w:t>2</w:t>
      </w:r>
      <w:r>
        <w:rPr>
          <w:rFonts w:hint="eastAsia" w:ascii="宋体" w:hAnsi="宋体" w:cs="宋体"/>
        </w:rPr>
        <w:t>、富河镇抗震救灾指挥部职责</w:t>
      </w:r>
    </w:p>
    <w:p>
      <w:pPr>
        <w:ind w:firstLine="31680"/>
        <w:rPr>
          <w:rFonts w:ascii="宋体" w:cs="宋体"/>
        </w:rPr>
      </w:pPr>
      <w:r>
        <w:rPr>
          <w:rFonts w:ascii="宋体" w:hAnsi="宋体" w:cs="宋体"/>
        </w:rPr>
        <w:t>1</w:t>
      </w:r>
      <w:r>
        <w:rPr>
          <w:rFonts w:hint="eastAsia" w:ascii="宋体" w:hAnsi="宋体" w:cs="宋体"/>
        </w:rPr>
        <w:t>）贯彻执行国家、自治区、赤峰市、巴林左旗有关抗震救灾工作的方针、政策、法律和法规；</w:t>
      </w:r>
    </w:p>
    <w:p>
      <w:pPr>
        <w:ind w:firstLine="31680"/>
        <w:rPr>
          <w:rFonts w:ascii="宋体" w:cs="宋体"/>
        </w:rPr>
      </w:pPr>
      <w:r>
        <w:rPr>
          <w:rFonts w:ascii="宋体" w:hAnsi="宋体" w:cs="宋体"/>
        </w:rPr>
        <w:t>2</w:t>
      </w:r>
      <w:r>
        <w:rPr>
          <w:rFonts w:hint="eastAsia" w:ascii="宋体" w:hAnsi="宋体" w:cs="宋体"/>
        </w:rPr>
        <w:t>）拟订富河镇地方性抗震救灾的政策和制度等；</w:t>
      </w:r>
    </w:p>
    <w:p>
      <w:pPr>
        <w:ind w:firstLine="31680"/>
        <w:rPr>
          <w:rFonts w:ascii="宋体" w:cs="宋体"/>
        </w:rPr>
      </w:pPr>
      <w:r>
        <w:rPr>
          <w:rFonts w:ascii="宋体" w:hAnsi="宋体" w:cs="宋体"/>
        </w:rPr>
        <w:t>3</w:t>
      </w:r>
      <w:r>
        <w:rPr>
          <w:rFonts w:hint="eastAsia" w:ascii="宋体" w:hAnsi="宋体" w:cs="宋体"/>
        </w:rPr>
        <w:t>）负责制定富河镇抗震救灾应急预案并组织实施；</w:t>
      </w:r>
    </w:p>
    <w:p>
      <w:pPr>
        <w:ind w:firstLine="31680"/>
        <w:rPr>
          <w:rFonts w:ascii="宋体" w:cs="宋体"/>
        </w:rPr>
      </w:pPr>
      <w:r>
        <w:rPr>
          <w:rFonts w:ascii="宋体" w:hAnsi="宋体" w:cs="宋体"/>
        </w:rPr>
        <w:t>4</w:t>
      </w:r>
      <w:r>
        <w:rPr>
          <w:rFonts w:hint="eastAsia" w:ascii="宋体" w:hAnsi="宋体" w:cs="宋体"/>
        </w:rPr>
        <w:t>）负责制定本辖区主要抗震救灾调度方案的编制并组织实施；</w:t>
      </w:r>
    </w:p>
    <w:p>
      <w:pPr>
        <w:ind w:firstLine="31680"/>
        <w:rPr>
          <w:rFonts w:ascii="宋体" w:cs="宋体"/>
        </w:rPr>
      </w:pPr>
      <w:r>
        <w:rPr>
          <w:rFonts w:ascii="宋体" w:hAnsi="宋体" w:cs="宋体"/>
        </w:rPr>
        <w:t>5</w:t>
      </w:r>
      <w:r>
        <w:rPr>
          <w:rFonts w:hint="eastAsia" w:ascii="宋体" w:hAnsi="宋体" w:cs="宋体"/>
        </w:rPr>
        <w:t>）组织相关部门开展抗震救灾队伍建设和物资储备；负责镇级抗震救灾队伍和物资调配；</w:t>
      </w:r>
    </w:p>
    <w:p>
      <w:pPr>
        <w:ind w:firstLine="31680"/>
        <w:rPr>
          <w:rFonts w:ascii="宋体" w:cs="宋体"/>
        </w:rPr>
      </w:pPr>
      <w:r>
        <w:rPr>
          <w:rFonts w:ascii="宋体" w:hAnsi="宋体" w:cs="宋体"/>
        </w:rPr>
        <w:t>6</w:t>
      </w:r>
      <w:r>
        <w:rPr>
          <w:rFonts w:hint="eastAsia" w:ascii="宋体" w:hAnsi="宋体" w:cs="宋体"/>
        </w:rPr>
        <w:t>）组织协调指导抗震救灾应急救援工作；</w:t>
      </w:r>
    </w:p>
    <w:p>
      <w:pPr>
        <w:ind w:firstLine="31680"/>
        <w:rPr>
          <w:rFonts w:ascii="宋体" w:cs="宋体"/>
        </w:rPr>
      </w:pPr>
      <w:r>
        <w:rPr>
          <w:rFonts w:ascii="宋体" w:hAnsi="宋体" w:cs="宋体"/>
        </w:rPr>
        <w:t>7</w:t>
      </w:r>
      <w:r>
        <w:rPr>
          <w:rFonts w:hint="eastAsia" w:ascii="宋体" w:hAnsi="宋体" w:cs="宋体"/>
        </w:rPr>
        <w:t>）指导协调相关部门抗震救灾防治工作；</w:t>
      </w:r>
    </w:p>
    <w:p>
      <w:pPr>
        <w:ind w:firstLine="31680"/>
        <w:rPr>
          <w:rFonts w:ascii="宋体" w:cs="宋体"/>
        </w:rPr>
      </w:pPr>
      <w:r>
        <w:rPr>
          <w:rFonts w:ascii="宋体" w:hAnsi="宋体" w:cs="宋体"/>
        </w:rPr>
        <w:t>8</w:t>
      </w:r>
      <w:r>
        <w:rPr>
          <w:rFonts w:hint="eastAsia" w:ascii="宋体" w:hAnsi="宋体" w:cs="宋体"/>
        </w:rPr>
        <w:t>）负责地震灾害信息收集和发布；</w:t>
      </w:r>
    </w:p>
    <w:p>
      <w:pPr>
        <w:ind w:firstLine="31680"/>
        <w:rPr>
          <w:rFonts w:ascii="宋体" w:cs="宋体"/>
        </w:rPr>
      </w:pPr>
      <w:r>
        <w:rPr>
          <w:rFonts w:ascii="宋体" w:hAnsi="宋体" w:cs="宋体"/>
        </w:rPr>
        <w:t>9</w:t>
      </w:r>
      <w:r>
        <w:rPr>
          <w:rFonts w:hint="eastAsia" w:ascii="宋体" w:hAnsi="宋体" w:cs="宋体"/>
        </w:rPr>
        <w:t>）承担镇级抗震救灾宣传、培训、演练工作；</w:t>
      </w:r>
    </w:p>
    <w:p>
      <w:pPr>
        <w:ind w:firstLine="31680"/>
        <w:rPr>
          <w:rFonts w:ascii="宋体" w:cs="宋体"/>
        </w:rPr>
      </w:pPr>
      <w:r>
        <w:rPr>
          <w:rFonts w:ascii="宋体" w:hAnsi="宋体" w:cs="宋体"/>
        </w:rPr>
        <w:t>10</w:t>
      </w:r>
      <w:r>
        <w:rPr>
          <w:rFonts w:hint="eastAsia" w:ascii="宋体" w:hAnsi="宋体" w:cs="宋体"/>
        </w:rPr>
        <w:t>）承担较大地震灾害调查评估的组织指导工作；</w:t>
      </w:r>
    </w:p>
    <w:p>
      <w:pPr>
        <w:ind w:firstLine="31680"/>
        <w:rPr>
          <w:rFonts w:ascii="宋体" w:cs="宋体"/>
        </w:rPr>
      </w:pPr>
      <w:r>
        <w:rPr>
          <w:rFonts w:ascii="宋体" w:hAnsi="宋体" w:cs="宋体"/>
        </w:rPr>
        <w:t>11</w:t>
      </w:r>
      <w:r>
        <w:rPr>
          <w:rFonts w:hint="eastAsia" w:ascii="宋体" w:hAnsi="宋体" w:cs="宋体"/>
        </w:rPr>
        <w:t>）参与抗震救灾专项资金管理使用；</w:t>
      </w:r>
    </w:p>
    <w:p>
      <w:pPr>
        <w:ind w:firstLine="31680"/>
        <w:rPr>
          <w:rFonts w:ascii="宋体" w:cs="宋体"/>
        </w:rPr>
      </w:pPr>
      <w:r>
        <w:rPr>
          <w:rFonts w:ascii="宋体" w:hAnsi="宋体" w:cs="宋体"/>
        </w:rPr>
        <w:t>12</w:t>
      </w:r>
      <w:r>
        <w:rPr>
          <w:rFonts w:hint="eastAsia" w:ascii="宋体" w:hAnsi="宋体" w:cs="宋体"/>
        </w:rPr>
        <w:t>）负责各村抗震救灾指挥机构的协调、联络工作。</w:t>
      </w:r>
    </w:p>
    <w:p>
      <w:pPr>
        <w:ind w:firstLine="31680"/>
        <w:rPr>
          <w:rFonts w:ascii="宋体" w:cs="宋体"/>
        </w:rPr>
      </w:pPr>
      <w:r>
        <w:rPr>
          <w:rFonts w:ascii="宋体" w:hAnsi="宋体" w:cs="宋体"/>
        </w:rPr>
        <w:t>3</w:t>
      </w:r>
      <w:r>
        <w:rPr>
          <w:rFonts w:hint="eastAsia" w:ascii="宋体" w:hAnsi="宋体" w:cs="宋体"/>
        </w:rPr>
        <w:t>、抗震救灾指挥部办公室及职责</w:t>
      </w:r>
    </w:p>
    <w:p>
      <w:pPr>
        <w:ind w:firstLine="31680"/>
        <w:rPr>
          <w:rFonts w:ascii="宋体" w:cs="宋体"/>
        </w:rPr>
      </w:pPr>
      <w:r>
        <w:rPr>
          <w:rFonts w:hint="eastAsia" w:ascii="宋体" w:hAnsi="宋体" w:cs="宋体"/>
        </w:rPr>
        <w:t>抗震救灾指挥部办公室负责全镇防震救灾日常工作，办公室主任由应急管理局局长兼任。根据工作需要，可增加有关单位和人员参加。</w:t>
      </w:r>
    </w:p>
    <w:p>
      <w:pPr>
        <w:ind w:firstLine="31680"/>
        <w:rPr>
          <w:rFonts w:ascii="宋体" w:cs="宋体"/>
        </w:rPr>
      </w:pPr>
      <w:r>
        <w:rPr>
          <w:rFonts w:hint="eastAsia" w:ascii="宋体" w:hAnsi="宋体" w:cs="宋体"/>
        </w:rPr>
        <w:t>发生地震灾害时，抗震救灾指挥部办公室设在镇党政综合办公室（</w:t>
      </w:r>
      <w:r>
        <w:rPr>
          <w:rFonts w:ascii="宋体" w:hAnsi="宋体" w:cs="宋体"/>
        </w:rPr>
        <w:t>24</w:t>
      </w:r>
      <w:r>
        <w:rPr>
          <w:rFonts w:hint="eastAsia" w:ascii="宋体" w:hAnsi="宋体" w:cs="宋体"/>
        </w:rPr>
        <w:t>小时应急值班电话：</w:t>
      </w:r>
      <w:r>
        <w:rPr>
          <w:rFonts w:ascii="宋体" w:hAnsi="宋体" w:cs="宋体"/>
        </w:rPr>
        <w:t>0476-7632111</w:t>
      </w:r>
      <w:r>
        <w:rPr>
          <w:rFonts w:hint="eastAsia" w:ascii="宋体" w:hAnsi="宋体" w:cs="宋体"/>
        </w:rPr>
        <w:t>）。</w:t>
      </w:r>
    </w:p>
    <w:p>
      <w:pPr>
        <w:pStyle w:val="4"/>
        <w:rPr>
          <w:lang w:val="en-US"/>
        </w:rPr>
      </w:pPr>
      <w:bookmarkStart w:id="24" w:name="_Toc6793"/>
      <w:r>
        <w:rPr>
          <w:lang w:val="en-US"/>
        </w:rPr>
        <w:t xml:space="preserve">2.3 </w:t>
      </w:r>
      <w:r>
        <w:rPr>
          <w:rFonts w:hint="eastAsia"/>
          <w:lang w:val="en-US"/>
        </w:rPr>
        <w:t>抗震救灾指挥机构主要成员单位职责</w:t>
      </w:r>
      <w:bookmarkEnd w:id="24"/>
    </w:p>
    <w:p>
      <w:pPr>
        <w:ind w:firstLine="31680"/>
        <w:rPr>
          <w:rFonts w:ascii="宋体" w:cs="宋体"/>
        </w:rPr>
      </w:pPr>
      <w:r>
        <w:rPr>
          <w:rFonts w:hint="eastAsia" w:ascii="宋体" w:hAnsi="宋体" w:cs="宋体"/>
        </w:rPr>
        <w:t>镇人民武装部：负责组织协调民兵和消防灭火排参加抢险救灾。根据镇抗震救灾指挥部的要求和上级的命令、指示，协助地方人民政府完成抗灾抢险、营救群众、转移财物、警戒疏散、治安维护、物资运送，并协助镇人民政府开展灾后重建等工作。</w:t>
      </w:r>
    </w:p>
    <w:p>
      <w:pPr>
        <w:ind w:firstLine="31680"/>
        <w:rPr>
          <w:rFonts w:ascii="宋体" w:cs="宋体"/>
        </w:rPr>
      </w:pPr>
      <w:r>
        <w:rPr>
          <w:rFonts w:hint="eastAsia" w:ascii="宋体" w:hAnsi="宋体" w:cs="宋体"/>
        </w:rPr>
        <w:t>镇党政综合办公室：负责抗震救灾有关经费保障工作；负责向自治区财政申请有关抗震救灾国家补助经费；负责相关资金拨付和监管工作。</w:t>
      </w:r>
    </w:p>
    <w:p>
      <w:pPr>
        <w:pStyle w:val="2"/>
      </w:pPr>
    </w:p>
    <w:p>
      <w:pPr>
        <w:ind w:firstLine="31680"/>
        <w:rPr>
          <w:rFonts w:ascii="宋体" w:cs="宋体"/>
        </w:rPr>
      </w:pPr>
      <w:r>
        <w:rPr>
          <w:rFonts w:hint="eastAsia" w:ascii="宋体" w:hAnsi="宋体" w:cs="宋体"/>
        </w:rPr>
        <w:t>镇平安建设办公室：组织查灾、核灾、报告灾情，组织指导协调、督促检查地震灾害应急救援；组织协调重大灾害应急救援工作，并按权限作出决定；承担富河镇应对地震灾害指挥部办公室工作，协助人民政府指定的指挥负责人组织灾害应急处置工作。组织编制综合防灾救灾规划，协调指导相关部门地震灾害防治工作；会同有关部门建立统一的应急管理信息平台，建立监测预警和灾情报告制度，健全自然灾害信息资源获取和共享机制，依法发布灾情及应急救援情况。开展多灾种和灾害链综合监测预警，指导开展自然灾害综合风险评估。</w:t>
      </w:r>
    </w:p>
    <w:p>
      <w:pPr>
        <w:ind w:firstLine="31680"/>
        <w:rPr>
          <w:rFonts w:ascii="宋体" w:cs="宋体"/>
        </w:rPr>
      </w:pPr>
      <w:r>
        <w:rPr>
          <w:rFonts w:hint="eastAsia" w:ascii="宋体" w:hAnsi="宋体" w:cs="宋体"/>
        </w:rPr>
        <w:t>镇基层党的建设办公室：负责组织新闻媒体做好抗震救灾宣传工作，指导协调有关部门做好抗震救灾突发事件的信息发布和舆论引导工作。</w:t>
      </w:r>
    </w:p>
    <w:p>
      <w:pPr>
        <w:ind w:firstLine="31680"/>
        <w:rPr>
          <w:rFonts w:ascii="宋体" w:cs="宋体"/>
        </w:rPr>
      </w:pPr>
      <w:r>
        <w:rPr>
          <w:rFonts w:hint="eastAsia" w:ascii="宋体" w:hAnsi="宋体" w:cs="宋体"/>
        </w:rPr>
        <w:t>镇社会事务办公室：负责指导灾区有关部门做好避险和受灾群众的临时安置工作，妥善安排避险和受灾群众基本生活，组织指导救灾款物接受、分配、发放。负责指导地方及时做好重特大灾区医疗救助和卫生防疫工作，组织做好受伤人员的紧急转送、医疗救护以及急需药品和医疗物资的紧急调运等工作。</w:t>
      </w:r>
    </w:p>
    <w:p>
      <w:pPr>
        <w:ind w:firstLine="31680"/>
        <w:rPr>
          <w:rFonts w:ascii="宋体" w:cs="宋体"/>
        </w:rPr>
      </w:pPr>
      <w:r>
        <w:rPr>
          <w:rFonts w:hint="eastAsia" w:ascii="宋体" w:hAnsi="宋体" w:cs="宋体"/>
        </w:rPr>
        <w:t>镇党群服务中心：负责将抗震救灾工作纳入国民经济和社会发展规划，负责做好抗震救灾基础设施建设项目申报前期工作，并做好监督管理，对因地震灾害引发的价格异常波动情况依法进行干预和制止，确保价格稳定。按照计划储备、管理应急救灾物资，确保能及时调用。负责落实综合防灾救灾规划相关要求，组织编制洪水干旱灾害防治规划并指导实施；承担水情旱情监测预警工作；组织编制重要河流湖泊和重要水利工程的防御洪水抗御旱灾调度和应急水量调度方案，按程序报批并组织实施，承担防御洪水应急抢险的技术支撑工作。开展旅游景区抗震救灾工作宣传，根据需要，指导做好旅游景区安全保卫和疏导等相关工作。</w:t>
      </w:r>
    </w:p>
    <w:p>
      <w:pPr>
        <w:ind w:firstLine="31680"/>
        <w:rPr>
          <w:rFonts w:ascii="宋体" w:cs="宋体"/>
        </w:rPr>
      </w:pPr>
      <w:r>
        <w:rPr>
          <w:rFonts w:hint="eastAsia" w:ascii="宋体" w:hAnsi="宋体" w:cs="宋体"/>
        </w:rPr>
        <w:t>镇乡村振兴办公室：参与灾情会商和评估；负责房屋安全鉴定工作，组织开展危险房屋鉴定，指导危险房屋治理工作。负责灾后恢复重建项目的规划、选址；参与救灾工作政策的制定，负责组织和指导有关防灾救灾规划编制、工程建筑设计与建设；对地震灾害进行监测和预测，指导地震灾害现场救援，组织开展地震现场监测，提出震情发展趋势分析会商意见；协同组织抗震救灾指挥调度和地震应急行动，参与灾区民用建筑物安全鉴定；组织开展地震现场灾害调查及烈度调查，配合开展损失评估等工作；参与救灾工作政策、规划的制定，开展地震科学和减轻地震灾害的科学研究和科普宣传工作。</w:t>
      </w:r>
      <w:r>
        <w:rPr>
          <w:rFonts w:hint="eastAsia"/>
        </w:rPr>
        <w:t>负责协调组织做好公路、铁路交通设施的抗震救灾安全工作；按照项目管理权限，做好公路（桥梁）在建工程防洪影响评价和安全工作，保证抗震救灾救援通道畅通，清除障碍；对持有镇抗震救灾应急指挥车证的车辆免收通行费，协调执行抗震救灾任务车辆公路通行事宜；配合应急部门做好道路交通设施的防护；负责抢险救灾运输工具的调配与通行；协调组织地方交通主管部门做好抗震救灾和防疫人员、物资及设备的运输工作。</w:t>
      </w:r>
      <w:r>
        <w:rPr>
          <w:rFonts w:hint="eastAsia" w:ascii="宋体" w:hAnsi="宋体" w:cs="宋体"/>
        </w:rPr>
        <w:t>负责落实综合防灾救灾规划相关要求，组织编制地震灾害防治规划和防护标准并指导实施；组织指导协调和监督地震灾害调查评价及隐患的普查、详查、排查；指导开展群测群防、专业监测和预报预警等工作，指导开展地质灾害工程治理工作；承担地质灾害应急救援的技术支撑工作。</w:t>
      </w:r>
    </w:p>
    <w:p>
      <w:pPr>
        <w:ind w:firstLine="31680"/>
        <w:rPr>
          <w:rFonts w:ascii="宋体" w:cs="宋体"/>
        </w:rPr>
      </w:pPr>
      <w:r>
        <w:rPr>
          <w:rFonts w:hint="eastAsia" w:ascii="宋体" w:hAnsi="宋体" w:cs="宋体"/>
        </w:rPr>
        <w:t>浩尔吐联通营业所：负责协调通信企业做好抗震救灾通信保障工作；协调电信运营企业利用公众信息网开展抗震救灾宣传教育活动。</w:t>
      </w:r>
    </w:p>
    <w:p>
      <w:pPr>
        <w:ind w:firstLine="31680"/>
        <w:rPr>
          <w:rFonts w:ascii="宋体" w:cs="宋体"/>
        </w:rPr>
      </w:pPr>
      <w:r>
        <w:rPr>
          <w:rFonts w:hint="eastAsia" w:ascii="宋体" w:hAnsi="宋体" w:cs="宋体"/>
        </w:rPr>
        <w:t>富河小学：负责指导全镇学校开展抗震救灾安全教育和管理工作，监督落实抗震救灾责任和措施。</w:t>
      </w:r>
    </w:p>
    <w:p>
      <w:pPr>
        <w:ind w:firstLine="31680"/>
        <w:rPr>
          <w:rFonts w:ascii="宋体" w:cs="宋体"/>
        </w:rPr>
      </w:pPr>
      <w:r>
        <w:rPr>
          <w:rFonts w:hint="eastAsia" w:ascii="宋体" w:hAnsi="宋体" w:cs="宋体"/>
        </w:rPr>
        <w:t>镇综合保障和推广中心：负责及时收集、整理和反映农牧业灾情信息。指导农牧业抗震救灾和灾后农牧业救灾、生产恢复及农垦系统抗震安全。</w:t>
      </w:r>
      <w:r>
        <w:rPr>
          <w:rFonts w:hint="eastAsia" w:ascii="宋体" w:hAnsi="宋体" w:cs="宋体"/>
          <w:lang w:val="zh-CN"/>
        </w:rPr>
        <w:t>负责组织编制森林和草原地质灾害防治规划并指导实施，</w:t>
      </w:r>
      <w:r>
        <w:rPr>
          <w:rFonts w:hint="eastAsia" w:ascii="宋体" w:hAnsi="宋体" w:cs="宋体"/>
        </w:rPr>
        <w:t>及时收集、整理和反映林业和草原灾情信息，</w:t>
      </w:r>
      <w:r>
        <w:rPr>
          <w:rFonts w:hint="eastAsia" w:ascii="宋体" w:hAnsi="宋体" w:cs="宋体"/>
          <w:lang w:val="zh-CN"/>
        </w:rPr>
        <w:t>组织指导开展灾害初期应急处置等工作。</w:t>
      </w:r>
    </w:p>
    <w:p>
      <w:pPr>
        <w:ind w:firstLine="31680"/>
        <w:rPr>
          <w:rFonts w:ascii="宋体" w:cs="宋体"/>
        </w:rPr>
      </w:pPr>
      <w:r>
        <w:rPr>
          <w:rFonts w:hint="eastAsia" w:ascii="宋体" w:hAnsi="宋体" w:cs="宋体"/>
        </w:rPr>
        <w:t>富河国家气象观测站：负责天气气候监测和预测预报工作。负责提供天气形势监测信息；对影响抗震救援工作的天气形势作出监测、分析和预测；汛期及时对重要天气形势和灾害性天气作出滚动预报，并向镇抗震救灾指挥部及有关成员单位提供气象信息。</w:t>
      </w:r>
    </w:p>
    <w:p>
      <w:pPr>
        <w:ind w:firstLine="31680"/>
        <w:rPr>
          <w:rFonts w:ascii="宋体" w:cs="宋体"/>
        </w:rPr>
      </w:pPr>
      <w:r>
        <w:rPr>
          <w:rFonts w:hint="eastAsia" w:ascii="宋体" w:hAnsi="宋体" w:cs="宋体"/>
        </w:rPr>
        <w:t>镇派出所：负责组织调动警力，协助灾区政府动员受灾害威胁的居民以及其他人员疏散，转移到安全地带，情况危急时，可强制组织避灾疏散；对被压埋人员进行抢救；打击蓄意扩大传播地质灾害险情的违法活动；维护灾区抢险救灾及社会治安秩序，确保灾区社会稳定。</w:t>
      </w:r>
    </w:p>
    <w:p>
      <w:pPr>
        <w:ind w:firstLine="0" w:firstLineChars="0"/>
        <w:rPr>
          <w:rFonts w:ascii="宋体" w:cs="宋体"/>
        </w:rPr>
      </w:pPr>
      <w:r>
        <w:rPr>
          <w:rFonts w:hint="eastAsia" w:ascii="宋体" w:hAnsi="宋体" w:cs="宋体"/>
        </w:rPr>
        <w:t>负责地震灾害公路应急运输保障工作，组织协调救灾物资和人员转移的紧急运输，指导受灾地区开展公路抢修保通工作。</w:t>
      </w:r>
    </w:p>
    <w:p>
      <w:pPr>
        <w:ind w:firstLine="31680"/>
        <w:rPr>
          <w:rFonts w:ascii="宋体" w:cs="宋体"/>
        </w:rPr>
      </w:pPr>
      <w:r>
        <w:rPr>
          <w:rFonts w:hint="eastAsia" w:ascii="宋体" w:hAnsi="宋体" w:cs="宋体"/>
        </w:rPr>
        <w:t>镇消防灭火排：组建专业应急救援队伍，做好应急抢险救援工作。</w:t>
      </w:r>
    </w:p>
    <w:p>
      <w:pPr>
        <w:ind w:firstLine="31680"/>
        <w:rPr>
          <w:rFonts w:ascii="宋体" w:cs="宋体"/>
        </w:rPr>
      </w:pPr>
      <w:r>
        <w:rPr>
          <w:rFonts w:hint="eastAsia" w:ascii="宋体" w:hAnsi="宋体" w:cs="宋体"/>
        </w:rPr>
        <w:t>富河镇供电所：负责抗震救灾的电力供应；及时抢修灾区损毁电力设施，保障灾区电力供应和用电安全。</w:t>
      </w:r>
    </w:p>
    <w:p>
      <w:pPr>
        <w:ind w:firstLine="31680"/>
        <w:rPr>
          <w:rFonts w:ascii="宋体" w:cs="宋体"/>
        </w:rPr>
      </w:pPr>
      <w:r>
        <w:rPr>
          <w:rFonts w:hint="eastAsia" w:ascii="宋体" w:hAnsi="宋体" w:cs="宋体"/>
        </w:rPr>
        <w:t>浩尔吐邮政支局：负责在灾害发生期间尽最大努力保证邮路畅通，减少邮件在途时间，协助政府部门对灾情信息及时反馈，保障当地群众享受金融和邮政服务不中断。</w:t>
      </w:r>
    </w:p>
    <w:p>
      <w:pPr>
        <w:ind w:firstLine="31680"/>
        <w:rPr>
          <w:rFonts w:ascii="宋体" w:cs="宋体"/>
        </w:rPr>
      </w:pPr>
      <w:r>
        <w:rPr>
          <w:rFonts w:hint="eastAsia" w:ascii="宋体" w:hAnsi="宋体" w:cs="宋体"/>
        </w:rPr>
        <w:t>富河镇市场监督管理所：负责及时保障伤员救治、卫生防疫工作所需的药品、耗材等，确保药品和耗材等及时到位。对有疫病地区要采取有效措施，控制疫情的发生和蔓延。制定恢复重建的优惠政策，简化手续，平抑物价，确保恢复重建工作的顺利开展。</w:t>
      </w:r>
    </w:p>
    <w:p>
      <w:pPr>
        <w:ind w:firstLine="31680"/>
      </w:pPr>
      <w:r>
        <w:rPr>
          <w:rFonts w:hint="eastAsia"/>
        </w:rPr>
        <w:t>联通浩尔吐营业所，移动、电信业务服务者：负责本系统通信网络公共设施的建设和维护，确保通信工程的安全和通信畅通；根据需要，协调调度应急通信设施，保证抢险通信畅通。</w:t>
      </w:r>
    </w:p>
    <w:p>
      <w:pPr>
        <w:ind w:firstLine="31680"/>
      </w:pPr>
      <w:r>
        <w:rPr>
          <w:rFonts w:hint="eastAsia"/>
        </w:rPr>
        <w:t>各成员单位要根据本行业特点做好抗震救灾应急值班工作，并于每年将值班室电话报镇抗震救灾指挥部办公室。</w:t>
      </w:r>
    </w:p>
    <w:p>
      <w:pPr>
        <w:pStyle w:val="4"/>
        <w:rPr>
          <w:lang w:val="en-US"/>
        </w:rPr>
      </w:pPr>
      <w:bookmarkStart w:id="25" w:name="_Toc21912"/>
      <w:r>
        <w:rPr>
          <w:lang w:val="en-US"/>
        </w:rPr>
        <w:t xml:space="preserve">2.4 </w:t>
      </w:r>
      <w:r>
        <w:rPr>
          <w:rFonts w:hint="eastAsia"/>
          <w:lang w:val="en-US"/>
        </w:rPr>
        <w:t>抗震救灾指挥机构工作组组成及职责</w:t>
      </w:r>
      <w:bookmarkEnd w:id="25"/>
    </w:p>
    <w:p>
      <w:pPr>
        <w:ind w:firstLine="31680"/>
      </w:pPr>
      <w:r>
        <w:rPr>
          <w:rFonts w:hint="eastAsia"/>
        </w:rPr>
        <w:t>抗震救灾指挥部下设工作组，各工作组组长由抗震救灾指挥部指定专人担任，成员从相关单位抽调。</w:t>
      </w:r>
    </w:p>
    <w:p>
      <w:pPr>
        <w:ind w:firstLine="31680"/>
      </w:pPr>
      <w:r>
        <w:t>1</w:t>
      </w:r>
      <w:r>
        <w:rPr>
          <w:rFonts w:hint="eastAsia"/>
        </w:rPr>
        <w:t>、综合协调组。由镇党政综合办公室牵头，镇党群综合服务中心、镇综合行政执法局、镇综合保障和技术推广中心、镇人民武装部、镇平安建设办公室、镇基层党的建设办公室、镇乡村振兴办公室、镇社会事务办公室等部门组成。</w:t>
      </w:r>
    </w:p>
    <w:p>
      <w:pPr>
        <w:ind w:firstLine="31680"/>
      </w:pPr>
      <w:r>
        <w:rPr>
          <w:rFonts w:hint="eastAsia"/>
        </w:rPr>
        <w:t>主要职责：搜集汇总震情、灾情、社情等；制定应急救援具体方案；协助指挥长组织实施抗震救灾行动；掌握、报告、通报抗震救灾进度情况；协调外援部队在富河镇的救援行动；协调自治区、市有关单位来我镇的救援行动；协调志愿者的救援行动；协调有关专家指导应急救援工作；办理抗震救灾指挥部会议、活动和文电。</w:t>
      </w:r>
    </w:p>
    <w:p>
      <w:pPr>
        <w:ind w:firstLine="31680"/>
      </w:pPr>
      <w:r>
        <w:t>2</w:t>
      </w:r>
      <w:r>
        <w:rPr>
          <w:rFonts w:hint="eastAsia"/>
        </w:rPr>
        <w:t>、抢险救援组。由镇人民武装部牵头，镇派出所、镇消防灭火排等部门组成。</w:t>
      </w:r>
    </w:p>
    <w:p>
      <w:pPr>
        <w:ind w:firstLine="31680"/>
      </w:pPr>
      <w:r>
        <w:rPr>
          <w:rFonts w:hint="eastAsia"/>
        </w:rPr>
        <w:t>主要职责：组织搜救被困群众和受伤人员；组织各类次生灾害处置及特殊建筑物抢险；组织对可能发生次生灾害的地点和设施采取紧急防护措施；组织对重大地质灾害隐患的监测预警和危险化学品等污染物防控。</w:t>
      </w:r>
    </w:p>
    <w:p>
      <w:pPr>
        <w:ind w:firstLine="31680"/>
      </w:pPr>
      <w:r>
        <w:t>3</w:t>
      </w:r>
      <w:r>
        <w:rPr>
          <w:rFonts w:hint="eastAsia"/>
        </w:rPr>
        <w:t>、基础设施保障组。由镇乡村振兴办公室牵头，镇党群服务中心、富河供电所、富河国家气象观测站、浩尔吐邮政支局等部门组成。</w:t>
      </w:r>
    </w:p>
    <w:p>
      <w:pPr>
        <w:ind w:firstLine="31680"/>
      </w:pPr>
      <w:r>
        <w:rPr>
          <w:rFonts w:hint="eastAsia"/>
        </w:rPr>
        <w:t>主要职责：负责被毁坏的铁路、公路、桥梁、隧道等重要设施的抢修；负责建立生命绿色通道；紧急调拨运输工具，保证抢险救援人员、物资的运输，伤员转运和受灾群众疏散；负责组织供电、排水、、通讯、广播电视等城市基础设施工程抢修；负责水库安全，组织水利设施抢险抢修，监测水质和防控污染，研究解决饮用水水源安全问题；制定科学恢复生产方案；负责清理灾区现场，对危险建筑物实施工程排险。</w:t>
      </w:r>
    </w:p>
    <w:p>
      <w:pPr>
        <w:ind w:firstLine="31680"/>
      </w:pPr>
      <w:r>
        <w:t>4</w:t>
      </w:r>
      <w:r>
        <w:rPr>
          <w:rFonts w:hint="eastAsia"/>
        </w:rPr>
        <w:t>、医疗救护和卫生防疫组。由镇社会事务办公室牵头，镇乡村振兴办公室、富河镇市场监督管理所等部门组成。</w:t>
      </w:r>
    </w:p>
    <w:p>
      <w:pPr>
        <w:ind w:firstLine="31680"/>
      </w:pPr>
      <w:r>
        <w:rPr>
          <w:rFonts w:hint="eastAsia"/>
        </w:rPr>
        <w:t>主要职责：负责医疗救护和卫生防疫，组织医疗救护队伍，调集医疗器械、药品，对受伤人员进行救治；监督、监测灾区生活饮用水、食品卫生和药品安全，预防和控制各种疫情；负责开展对震后动物尸体的无害化处理、饲养场所的消毒，防止人畜共患传染病和动物疫情发生。</w:t>
      </w:r>
    </w:p>
    <w:p>
      <w:pPr>
        <w:ind w:firstLine="31680"/>
      </w:pPr>
      <w:r>
        <w:t>5</w:t>
      </w:r>
      <w:r>
        <w:rPr>
          <w:rFonts w:hint="eastAsia"/>
        </w:rPr>
        <w:t>、社会治安组。由镇派出所牵头，镇平安建设办公室等部门组成。</w:t>
      </w:r>
    </w:p>
    <w:p>
      <w:pPr>
        <w:ind w:firstLine="31680"/>
      </w:pPr>
      <w:r>
        <w:rPr>
          <w:rFonts w:hint="eastAsia"/>
        </w:rPr>
        <w:t>主要职责：负责灾区治安管理和安全保卫工作，预防和打击各种违法犯罪活动，维护社会治安，维护道路交通秩序；协调相关部门疏导解决由地震引发的各种社会矛盾，维护社会秩序稳定；组织对党政机关、金融单位、储备仓库等重要场所的警戒。</w:t>
      </w:r>
    </w:p>
    <w:p>
      <w:pPr>
        <w:ind w:firstLine="31680"/>
      </w:pPr>
      <w:r>
        <w:t>6</w:t>
      </w:r>
      <w:r>
        <w:rPr>
          <w:rFonts w:hint="eastAsia"/>
        </w:rPr>
        <w:t>、群众生活保障组。由镇社会事务办公室牵头，镇党群服务中心、镇平安建设办公室等部门组成。</w:t>
      </w:r>
    </w:p>
    <w:p>
      <w:pPr>
        <w:ind w:firstLine="31680"/>
      </w:pPr>
      <w:r>
        <w:rPr>
          <w:rFonts w:hint="eastAsia"/>
        </w:rPr>
        <w:t>主要职责：组织实施受灾群众救助工作及相应的资金物资保障；保障救灾所需的燃料、食品、药品、饮用水等生活必需品供应和救援人员基本生活必需品供应；做好受灾群众的紧急安置；保障灾区群众基本生活，保障灾区市场供应；接受和安排捐赠；负责抗震救灾款物的监管与审计。</w:t>
      </w:r>
    </w:p>
    <w:p>
      <w:pPr>
        <w:ind w:firstLine="31680"/>
      </w:pPr>
      <w:r>
        <w:t>7</w:t>
      </w:r>
      <w:r>
        <w:rPr>
          <w:rFonts w:hint="eastAsia"/>
        </w:rPr>
        <w:t>、宣传报道组。由镇基层党的建设办公室组成。</w:t>
      </w:r>
    </w:p>
    <w:p>
      <w:pPr>
        <w:ind w:firstLine="31680"/>
      </w:pPr>
      <w:r>
        <w:rPr>
          <w:rFonts w:hint="eastAsia"/>
        </w:rPr>
        <w:t>主要职责：负责组织震情、灾情、抗震救灾信息新闻发布和宣传报道工作；负责灾区群众的科普知识宣传工作；开展舆情收集分析，正确引导舆论。</w:t>
      </w:r>
    </w:p>
    <w:p>
      <w:pPr>
        <w:ind w:firstLine="31680"/>
      </w:pPr>
      <w:r>
        <w:t>8</w:t>
      </w:r>
      <w:r>
        <w:rPr>
          <w:rFonts w:hint="eastAsia"/>
        </w:rPr>
        <w:t>、涉外工作组。由党政综合办公室组成。</w:t>
      </w:r>
    </w:p>
    <w:p>
      <w:pPr>
        <w:ind w:firstLine="31680"/>
      </w:pPr>
      <w:r>
        <w:rPr>
          <w:rFonts w:hint="eastAsia"/>
        </w:rPr>
        <w:t>主要职责：负责按有关规定和程序做好涉外联络和接收境外救援物资。</w:t>
      </w:r>
    </w:p>
    <w:p>
      <w:pPr>
        <w:ind w:firstLine="31680"/>
      </w:pPr>
      <w:r>
        <w:t>9</w:t>
      </w:r>
      <w:r>
        <w:rPr>
          <w:rFonts w:hint="eastAsia"/>
        </w:rPr>
        <w:t>、恢复重建组。由镇人民政府牵头，镇党政综合办公室、镇平安建设办公室、镇社会事务办公室、镇乡村振兴办公室等部门组成。</w:t>
      </w:r>
    </w:p>
    <w:p>
      <w:pPr>
        <w:ind w:firstLine="31680"/>
      </w:pPr>
      <w:r>
        <w:rPr>
          <w:rFonts w:hint="eastAsia"/>
        </w:rPr>
        <w:t>主要职责：负责公共建筑、住宅和临时安置点的地震应急评估，对灾区各类建筑的安全等级进行划分；负责制定恢复重建规划，指导灾区恢复生产；负责落实有关扶持资金、物资，指导协调灾后重建工作。</w:t>
      </w:r>
    </w:p>
    <w:p>
      <w:pPr>
        <w:pStyle w:val="3"/>
        <w:jc w:val="center"/>
        <w:rPr>
          <w:lang w:val="en-US" w:bidi="ar-SA"/>
        </w:rPr>
      </w:pPr>
      <w:bookmarkStart w:id="26" w:name="_Toc27636"/>
      <w:bookmarkStart w:id="27" w:name="_Toc17276"/>
      <w:r>
        <w:rPr>
          <w:lang w:val="en-US"/>
        </w:rPr>
        <w:t xml:space="preserve">3  </w:t>
      </w:r>
      <w:r>
        <w:rPr>
          <w:rFonts w:hint="eastAsia"/>
          <w:lang w:val="en-US" w:bidi="ar-SA"/>
        </w:rPr>
        <w:t>监测报告</w:t>
      </w:r>
      <w:bookmarkEnd w:id="26"/>
    </w:p>
    <w:p>
      <w:pPr>
        <w:pStyle w:val="4"/>
        <w:keepNext/>
        <w:keepLines/>
        <w:spacing w:line="360" w:lineRule="auto"/>
        <w:jc w:val="both"/>
        <w:rPr>
          <w:rFonts w:ascii="宋体" w:cs="宋体"/>
          <w:color w:val="000000"/>
          <w:sz w:val="28"/>
          <w:szCs w:val="28"/>
          <w:lang w:val="en-US"/>
        </w:rPr>
      </w:pPr>
      <w:bookmarkStart w:id="28" w:name="_Toc15257"/>
      <w:r>
        <w:rPr>
          <w:rFonts w:ascii="宋体" w:hAnsi="宋体" w:cs="宋体"/>
          <w:color w:val="000000"/>
          <w:sz w:val="28"/>
          <w:szCs w:val="28"/>
          <w:lang w:val="en-US"/>
        </w:rPr>
        <w:t>3.1</w:t>
      </w:r>
      <w:r>
        <w:rPr>
          <w:rFonts w:hint="eastAsia" w:ascii="宋体" w:hAnsi="宋体" w:cs="宋体"/>
          <w:color w:val="000000"/>
          <w:sz w:val="28"/>
          <w:szCs w:val="28"/>
          <w:lang w:val="en-US"/>
        </w:rPr>
        <w:t>震情速报</w:t>
      </w:r>
      <w:bookmarkEnd w:id="28"/>
    </w:p>
    <w:p>
      <w:pPr>
        <w:ind w:firstLine="31680"/>
      </w:pPr>
      <w:r>
        <w:rPr>
          <w:rFonts w:hint="eastAsia"/>
        </w:rPr>
        <w:t>地震发生后，对于符合以下条件的地震，按照《地震速报技术管理规定》的要求，接旗人民政府震情通报后，对发生在我镇的地震发生时间、地点、震级、震源深度等向抗震救灾指挥部各成员单位通报，并及时续报有关情况。</w:t>
      </w:r>
    </w:p>
    <w:p>
      <w:pPr>
        <w:ind w:firstLine="31680"/>
      </w:pPr>
      <w:r>
        <w:rPr>
          <w:rFonts w:hint="eastAsia"/>
        </w:rPr>
        <w:t>全镇及邻近地区</w:t>
      </w:r>
      <w:r>
        <w:t>4.0</w:t>
      </w:r>
      <w:r>
        <w:rPr>
          <w:rFonts w:hint="eastAsia"/>
        </w:rPr>
        <w:t>级以上的地震；</w:t>
      </w:r>
    </w:p>
    <w:p>
      <w:pPr>
        <w:ind w:firstLine="31680"/>
      </w:pPr>
      <w:r>
        <w:rPr>
          <w:rFonts w:hint="eastAsia"/>
        </w:rPr>
        <w:t>全镇人口较密集的重点危险区</w:t>
      </w:r>
      <w:r>
        <w:t>3.0</w:t>
      </w:r>
      <w:r>
        <w:rPr>
          <w:rFonts w:hint="eastAsia"/>
        </w:rPr>
        <w:t>级以上的地震；</w:t>
      </w:r>
    </w:p>
    <w:p>
      <w:pPr>
        <w:ind w:firstLine="31680"/>
      </w:pPr>
      <w:r>
        <w:rPr>
          <w:rFonts w:hint="eastAsia"/>
        </w:rPr>
        <w:t>全镇人口密集地区的有感地震。</w:t>
      </w:r>
    </w:p>
    <w:p>
      <w:pPr>
        <w:pStyle w:val="4"/>
        <w:rPr>
          <w:lang w:val="en-US"/>
        </w:rPr>
      </w:pPr>
      <w:bookmarkStart w:id="29" w:name="_Toc26719"/>
      <w:r>
        <w:rPr>
          <w:lang w:val="en-US"/>
        </w:rPr>
        <w:t>3.2</w:t>
      </w:r>
      <w:r>
        <w:rPr>
          <w:rFonts w:hint="eastAsia"/>
          <w:lang w:val="en-US"/>
        </w:rPr>
        <w:t>灾情报告</w:t>
      </w:r>
      <w:bookmarkEnd w:id="29"/>
    </w:p>
    <w:p>
      <w:pPr>
        <w:ind w:firstLine="31680"/>
      </w:pPr>
      <w:r>
        <w:rPr>
          <w:rFonts w:hint="eastAsia"/>
        </w:rPr>
        <w:t>地震灾害发生后，灾区所在行政村及时将震情、灾情等信息报富河镇人民政府，必要时可越级上报。</w:t>
      </w:r>
    </w:p>
    <w:p>
      <w:pPr>
        <w:ind w:firstLine="31680"/>
      </w:pPr>
      <w:r>
        <w:rPr>
          <w:rFonts w:hint="eastAsia"/>
        </w:rPr>
        <w:t>发生重大、特别重大地震灾害，镇平安建设办公室等有关部门迅速组织开展现场灾情收集、分析研判工作，报富河镇人民政府和巴林左旗应急管理局，并及时续报有关情况。</w:t>
      </w:r>
    </w:p>
    <w:p>
      <w:pPr>
        <w:ind w:firstLine="31680"/>
      </w:pPr>
      <w:r>
        <w:rPr>
          <w:rFonts w:hint="eastAsia"/>
        </w:rPr>
        <w:t>发现地震伤亡、失踪或被困人员有港澳台人员或外国人，发现属地要迅速核实并报告富河镇派出所并抄送镇平安建设办公室。</w:t>
      </w:r>
    </w:p>
    <w:p>
      <w:pPr>
        <w:pStyle w:val="3"/>
        <w:jc w:val="center"/>
        <w:rPr>
          <w:lang w:val="en-US" w:bidi="ar-SA"/>
        </w:rPr>
      </w:pPr>
      <w:bookmarkStart w:id="30" w:name="_Toc12029"/>
      <w:r>
        <w:rPr>
          <w:lang w:val="en-US"/>
        </w:rPr>
        <w:t xml:space="preserve">4  </w:t>
      </w:r>
      <w:r>
        <w:rPr>
          <w:rFonts w:hint="eastAsia"/>
          <w:lang w:val="en-US" w:bidi="ar-SA"/>
        </w:rPr>
        <w:t>地震灾害事件分级与响应</w:t>
      </w:r>
      <w:bookmarkEnd w:id="30"/>
    </w:p>
    <w:p>
      <w:pPr>
        <w:pStyle w:val="4"/>
        <w:rPr>
          <w:lang w:val="en-US"/>
        </w:rPr>
      </w:pPr>
      <w:bookmarkStart w:id="31" w:name="_Toc13380"/>
      <w:r>
        <w:rPr>
          <w:lang w:val="en-US"/>
        </w:rPr>
        <w:t xml:space="preserve">4.1 </w:t>
      </w:r>
      <w:r>
        <w:rPr>
          <w:rFonts w:hint="eastAsia"/>
          <w:lang w:val="en-US"/>
        </w:rPr>
        <w:t>地震灾害事件的划分</w:t>
      </w:r>
      <w:bookmarkEnd w:id="31"/>
    </w:p>
    <w:p>
      <w:pPr>
        <w:ind w:firstLine="31680"/>
      </w:pPr>
      <w:r>
        <w:rPr>
          <w:rFonts w:hint="eastAsia"/>
        </w:rPr>
        <w:t>地震事件分为地震灾害事件和其它地震事件。</w:t>
      </w:r>
    </w:p>
    <w:p>
      <w:pPr>
        <w:ind w:firstLine="31680"/>
      </w:pPr>
      <w:r>
        <w:t>1</w:t>
      </w:r>
      <w:r>
        <w:rPr>
          <w:rFonts w:hint="eastAsia"/>
        </w:rPr>
        <w:t>、地震灾害事件的划分</w:t>
      </w:r>
      <w:r>
        <w:br w:type="textWrapping"/>
      </w:r>
      <w:r>
        <w:rPr>
          <w:rFonts w:hint="eastAsia"/>
        </w:rPr>
        <w:t>　　地震灾害事件是指造成人员伤亡和财产损失的地震事件，按其破坏程度划分为特别重大、重大、较大、一般四个等级，详见下表</w:t>
      </w:r>
      <w:r>
        <w:t>4-1</w:t>
      </w:r>
      <w:r>
        <w:rPr>
          <w:rFonts w:hint="eastAsia"/>
        </w:rPr>
        <w:t>。</w:t>
      </w:r>
    </w:p>
    <w:p>
      <w:pPr>
        <w:pStyle w:val="26"/>
        <w:rPr>
          <w:lang w:val="en-US"/>
        </w:rPr>
      </w:pPr>
      <w:r>
        <w:rPr>
          <w:rFonts w:hint="eastAsia"/>
          <w:lang w:val="en-US"/>
        </w:rPr>
        <w:t>表</w:t>
      </w:r>
      <w:r>
        <w:rPr>
          <w:lang w:val="en-US"/>
        </w:rPr>
        <w:t xml:space="preserve">4-1 </w:t>
      </w:r>
      <w:r>
        <w:rPr>
          <w:rFonts w:hint="eastAsia"/>
          <w:lang w:val="en-US"/>
        </w:rPr>
        <w:t>地震灾害事件分级标准和初判指标一览表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106"/>
        <w:gridCol w:w="1277"/>
        <w:gridCol w:w="189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0" w:type="auto"/>
            <w:vMerge w:val="restart"/>
            <w:vAlign w:val="center"/>
          </w:tcPr>
          <w:p>
            <w:pPr>
              <w:pStyle w:val="25"/>
              <w:jc w:val="center"/>
            </w:pPr>
            <w:r>
              <w:rPr>
                <w:rFonts w:hint="eastAsia"/>
              </w:rPr>
              <w:t>地震灾害分级标准</w:t>
            </w:r>
          </w:p>
        </w:tc>
        <w:tc>
          <w:tcPr>
            <w:tcW w:w="0" w:type="auto"/>
            <w:gridSpan w:val="4"/>
            <w:vAlign w:val="center"/>
          </w:tcPr>
          <w:p>
            <w:pPr>
              <w:pStyle w:val="25"/>
              <w:jc w:val="center"/>
            </w:pPr>
            <w:r>
              <w:rPr>
                <w:rFonts w:hint="eastAsia"/>
              </w:rPr>
              <w:t>分级标准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0" w:type="auto"/>
            <w:vMerge w:val="continue"/>
            <w:vAlign w:val="center"/>
          </w:tcPr>
          <w:p>
            <w:pPr>
              <w:pStyle w:val="25"/>
              <w:jc w:val="center"/>
            </w:pPr>
          </w:p>
        </w:tc>
        <w:tc>
          <w:tcPr>
            <w:tcW w:w="0" w:type="auto"/>
            <w:vMerge w:val="restart"/>
            <w:vAlign w:val="center"/>
          </w:tcPr>
          <w:p>
            <w:pPr>
              <w:pStyle w:val="25"/>
              <w:jc w:val="center"/>
            </w:pPr>
            <w:r>
              <w:rPr>
                <w:rFonts w:hint="eastAsia"/>
              </w:rPr>
              <w:t>震级</w:t>
            </w:r>
          </w:p>
        </w:tc>
        <w:tc>
          <w:tcPr>
            <w:tcW w:w="0" w:type="auto"/>
            <w:gridSpan w:val="3"/>
            <w:vAlign w:val="center"/>
          </w:tcPr>
          <w:p>
            <w:pPr>
              <w:pStyle w:val="25"/>
              <w:jc w:val="center"/>
            </w:pPr>
            <w:r>
              <w:rPr>
                <w:rFonts w:hint="eastAsia"/>
              </w:rPr>
              <w:t>预评估结果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0" w:type="auto"/>
            <w:vMerge w:val="continue"/>
            <w:vAlign w:val="center"/>
          </w:tcPr>
          <w:p>
            <w:pPr>
              <w:pStyle w:val="25"/>
              <w:jc w:val="center"/>
            </w:pPr>
          </w:p>
        </w:tc>
        <w:tc>
          <w:tcPr>
            <w:tcW w:w="0" w:type="auto"/>
            <w:vMerge w:val="continue"/>
            <w:vAlign w:val="center"/>
          </w:tcPr>
          <w:p>
            <w:pPr>
              <w:pStyle w:val="25"/>
              <w:jc w:val="center"/>
            </w:pPr>
          </w:p>
        </w:tc>
        <w:tc>
          <w:tcPr>
            <w:tcW w:w="0" w:type="auto"/>
            <w:vAlign w:val="center"/>
          </w:tcPr>
          <w:p>
            <w:pPr>
              <w:pStyle w:val="25"/>
              <w:jc w:val="center"/>
            </w:pPr>
            <w:r>
              <w:rPr>
                <w:rFonts w:hint="eastAsia"/>
              </w:rPr>
              <w:t>死亡人员</w:t>
            </w:r>
          </w:p>
          <w:p>
            <w:pPr>
              <w:pStyle w:val="25"/>
              <w:jc w:val="center"/>
            </w:pPr>
            <w:r>
              <w:rPr>
                <w:rFonts w:hint="eastAsia"/>
              </w:rPr>
              <w:t>（含失踪）</w:t>
            </w:r>
          </w:p>
        </w:tc>
        <w:tc>
          <w:tcPr>
            <w:tcW w:w="0" w:type="auto"/>
            <w:vAlign w:val="center"/>
          </w:tcPr>
          <w:p>
            <w:pPr>
              <w:pStyle w:val="25"/>
              <w:jc w:val="center"/>
            </w:pPr>
            <w:r>
              <w:rPr>
                <w:rFonts w:hint="eastAsia"/>
              </w:rPr>
              <w:t>经济损失</w:t>
            </w:r>
          </w:p>
        </w:tc>
        <w:tc>
          <w:tcPr>
            <w:tcW w:w="0" w:type="auto"/>
            <w:vAlign w:val="center"/>
          </w:tcPr>
          <w:p>
            <w:pPr>
              <w:pStyle w:val="25"/>
              <w:jc w:val="center"/>
            </w:pPr>
            <w:r>
              <w:rPr>
                <w:rFonts w:hint="eastAsia"/>
              </w:rPr>
              <w:t>社会</w:t>
            </w:r>
          </w:p>
          <w:p>
            <w:pPr>
              <w:pStyle w:val="25"/>
              <w:jc w:val="center"/>
            </w:pPr>
            <w:r>
              <w:rPr>
                <w:rFonts w:hint="eastAsia"/>
              </w:rPr>
              <w:t>影响度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0" w:type="auto"/>
            <w:vAlign w:val="center"/>
          </w:tcPr>
          <w:p>
            <w:pPr>
              <w:pStyle w:val="25"/>
              <w:jc w:val="center"/>
            </w:pPr>
            <w:r>
              <w:rPr>
                <w:rFonts w:hint="eastAsia"/>
              </w:rPr>
              <w:t>特别重大</w:t>
            </w:r>
          </w:p>
          <w:p>
            <w:pPr>
              <w:pStyle w:val="25"/>
              <w:jc w:val="center"/>
            </w:pPr>
            <w:r>
              <w:rPr>
                <w:rFonts w:hint="eastAsia"/>
              </w:rPr>
              <w:t>地震灾害</w:t>
            </w:r>
          </w:p>
        </w:tc>
        <w:tc>
          <w:tcPr>
            <w:tcW w:w="0" w:type="auto"/>
            <w:vAlign w:val="center"/>
          </w:tcPr>
          <w:p>
            <w:pPr>
              <w:pStyle w:val="25"/>
              <w:jc w:val="center"/>
            </w:pPr>
            <w:r>
              <w:rPr>
                <w:rFonts w:hint="eastAsia"/>
              </w:rPr>
              <w:t>人口较密集地区发生</w:t>
            </w:r>
          </w:p>
          <w:p>
            <w:pPr>
              <w:pStyle w:val="25"/>
              <w:jc w:val="center"/>
            </w:pPr>
            <w:r>
              <w:t>M</w:t>
            </w:r>
            <w:r>
              <w:rPr>
                <w:rFonts w:hint="eastAsia"/>
              </w:rPr>
              <w:t>≥</w:t>
            </w:r>
            <w:r>
              <w:t>7.0</w:t>
            </w:r>
            <w:r>
              <w:rPr>
                <w:rFonts w:hint="eastAsia"/>
              </w:rPr>
              <w:t>级</w:t>
            </w:r>
          </w:p>
        </w:tc>
        <w:tc>
          <w:tcPr>
            <w:tcW w:w="0" w:type="auto"/>
            <w:vAlign w:val="center"/>
          </w:tcPr>
          <w:p>
            <w:pPr>
              <w:pStyle w:val="25"/>
              <w:jc w:val="center"/>
            </w:pPr>
            <w:r>
              <w:t>300</w:t>
            </w:r>
            <w:r>
              <w:rPr>
                <w:rFonts w:hint="eastAsia"/>
              </w:rPr>
              <w:t>人以上</w:t>
            </w:r>
          </w:p>
        </w:tc>
        <w:tc>
          <w:tcPr>
            <w:tcW w:w="0" w:type="auto"/>
            <w:vAlign w:val="center"/>
          </w:tcPr>
          <w:p>
            <w:pPr>
              <w:pStyle w:val="25"/>
              <w:jc w:val="center"/>
            </w:pPr>
            <w:r>
              <w:rPr>
                <w:rFonts w:hint="eastAsia"/>
              </w:rPr>
              <w:t>特别严重经济损失</w:t>
            </w:r>
          </w:p>
        </w:tc>
        <w:tc>
          <w:tcPr>
            <w:tcW w:w="0" w:type="auto"/>
            <w:vAlign w:val="center"/>
          </w:tcPr>
          <w:p>
            <w:pPr>
              <w:pStyle w:val="25"/>
              <w:jc w:val="center"/>
            </w:pPr>
            <w:r>
              <w:rPr>
                <w:rFonts w:hint="eastAsia"/>
              </w:rPr>
              <w:t>特别重大</w:t>
            </w:r>
          </w:p>
          <w:p>
            <w:pPr>
              <w:pStyle w:val="25"/>
              <w:jc w:val="center"/>
            </w:pPr>
            <w:r>
              <w:rPr>
                <w:rFonts w:hint="eastAsia"/>
              </w:rPr>
              <w:t>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0" w:type="auto"/>
            <w:vAlign w:val="center"/>
          </w:tcPr>
          <w:p>
            <w:pPr>
              <w:pStyle w:val="25"/>
              <w:jc w:val="center"/>
            </w:pPr>
            <w:r>
              <w:rPr>
                <w:rFonts w:hint="eastAsia"/>
              </w:rPr>
              <w:t>重大</w:t>
            </w:r>
          </w:p>
          <w:p>
            <w:pPr>
              <w:pStyle w:val="25"/>
              <w:jc w:val="center"/>
            </w:pPr>
            <w:r>
              <w:rPr>
                <w:rFonts w:hint="eastAsia"/>
              </w:rPr>
              <w:t>地震灾害</w:t>
            </w:r>
          </w:p>
        </w:tc>
        <w:tc>
          <w:tcPr>
            <w:tcW w:w="0" w:type="auto"/>
            <w:vAlign w:val="center"/>
          </w:tcPr>
          <w:p>
            <w:pPr>
              <w:pStyle w:val="25"/>
              <w:jc w:val="center"/>
            </w:pPr>
            <w:r>
              <w:rPr>
                <w:rFonts w:hint="eastAsia"/>
              </w:rPr>
              <w:t>人口较密集地区发生</w:t>
            </w:r>
          </w:p>
          <w:p>
            <w:pPr>
              <w:pStyle w:val="25"/>
              <w:jc w:val="center"/>
            </w:pPr>
            <w:r>
              <w:t>6.0</w:t>
            </w:r>
            <w:r>
              <w:rPr>
                <w:rFonts w:hint="eastAsia"/>
              </w:rPr>
              <w:t>≤</w:t>
            </w:r>
            <w:r>
              <w:t>M</w:t>
            </w:r>
            <w:r>
              <w:rPr>
                <w:rFonts w:hint="eastAsia"/>
              </w:rPr>
              <w:t>＜</w:t>
            </w:r>
            <w:r>
              <w:t>7.0</w:t>
            </w:r>
            <w:r>
              <w:rPr>
                <w:rFonts w:hint="eastAsia"/>
              </w:rPr>
              <w:t>级</w:t>
            </w:r>
          </w:p>
        </w:tc>
        <w:tc>
          <w:tcPr>
            <w:tcW w:w="0" w:type="auto"/>
            <w:vAlign w:val="center"/>
          </w:tcPr>
          <w:p>
            <w:pPr>
              <w:pStyle w:val="25"/>
              <w:jc w:val="center"/>
            </w:pPr>
            <w:r>
              <w:t>50—300</w:t>
            </w:r>
            <w:r>
              <w:rPr>
                <w:rFonts w:hint="eastAsia"/>
              </w:rPr>
              <w:t>人</w:t>
            </w:r>
          </w:p>
        </w:tc>
        <w:tc>
          <w:tcPr>
            <w:tcW w:w="0" w:type="auto"/>
            <w:vAlign w:val="center"/>
          </w:tcPr>
          <w:p>
            <w:pPr>
              <w:pStyle w:val="25"/>
              <w:jc w:val="center"/>
            </w:pPr>
            <w:r>
              <w:rPr>
                <w:rFonts w:hint="eastAsia"/>
              </w:rPr>
              <w:t>严重经济损失</w:t>
            </w:r>
          </w:p>
        </w:tc>
        <w:tc>
          <w:tcPr>
            <w:tcW w:w="0" w:type="auto"/>
            <w:vAlign w:val="center"/>
          </w:tcPr>
          <w:p>
            <w:pPr>
              <w:pStyle w:val="25"/>
              <w:jc w:val="center"/>
            </w:pPr>
            <w:r>
              <w:rPr>
                <w:rFonts w:hint="eastAsia"/>
              </w:rPr>
              <w:t>重大社会</w:t>
            </w:r>
          </w:p>
          <w:p>
            <w:pPr>
              <w:pStyle w:val="25"/>
              <w:jc w:val="center"/>
            </w:pPr>
            <w:r>
              <w:rPr>
                <w:rFonts w:hint="eastAsia"/>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0" w:type="auto"/>
            <w:vAlign w:val="center"/>
          </w:tcPr>
          <w:p>
            <w:pPr>
              <w:pStyle w:val="25"/>
              <w:jc w:val="center"/>
            </w:pPr>
            <w:r>
              <w:rPr>
                <w:rFonts w:hint="eastAsia"/>
              </w:rPr>
              <w:t>较大</w:t>
            </w:r>
          </w:p>
          <w:p>
            <w:pPr>
              <w:pStyle w:val="25"/>
              <w:jc w:val="center"/>
            </w:pPr>
            <w:r>
              <w:rPr>
                <w:rFonts w:hint="eastAsia"/>
              </w:rPr>
              <w:t>地震灾害</w:t>
            </w:r>
          </w:p>
        </w:tc>
        <w:tc>
          <w:tcPr>
            <w:tcW w:w="0" w:type="auto"/>
            <w:vAlign w:val="center"/>
          </w:tcPr>
          <w:p>
            <w:pPr>
              <w:pStyle w:val="25"/>
              <w:jc w:val="center"/>
            </w:pPr>
            <w:r>
              <w:rPr>
                <w:rFonts w:hint="eastAsia"/>
              </w:rPr>
              <w:t>人口较密集地区发生</w:t>
            </w:r>
          </w:p>
          <w:p>
            <w:pPr>
              <w:pStyle w:val="25"/>
              <w:jc w:val="center"/>
            </w:pPr>
            <w:r>
              <w:t>5.0</w:t>
            </w:r>
            <w:r>
              <w:rPr>
                <w:rFonts w:hint="eastAsia"/>
              </w:rPr>
              <w:t>≤</w:t>
            </w:r>
            <w:r>
              <w:t>M</w:t>
            </w:r>
            <w:r>
              <w:rPr>
                <w:rFonts w:hint="eastAsia"/>
              </w:rPr>
              <w:t>＜</w:t>
            </w:r>
            <w:r>
              <w:t>6.0</w:t>
            </w:r>
            <w:r>
              <w:rPr>
                <w:rFonts w:hint="eastAsia"/>
              </w:rPr>
              <w:t>级</w:t>
            </w:r>
          </w:p>
          <w:p>
            <w:pPr>
              <w:pStyle w:val="25"/>
              <w:jc w:val="center"/>
            </w:pPr>
            <w:r>
              <w:rPr>
                <w:rFonts w:hint="eastAsia"/>
              </w:rPr>
              <w:t>人口密集地区发生</w:t>
            </w:r>
          </w:p>
          <w:p>
            <w:pPr>
              <w:pStyle w:val="25"/>
              <w:jc w:val="center"/>
            </w:pPr>
            <w:r>
              <w:t>4.0</w:t>
            </w:r>
            <w:r>
              <w:rPr>
                <w:rFonts w:hint="eastAsia"/>
              </w:rPr>
              <w:t>≤</w:t>
            </w:r>
            <w:r>
              <w:t>M</w:t>
            </w:r>
            <w:r>
              <w:rPr>
                <w:rFonts w:hint="eastAsia"/>
              </w:rPr>
              <w:t>＜</w:t>
            </w:r>
            <w:r>
              <w:t>5.0</w:t>
            </w:r>
            <w:r>
              <w:rPr>
                <w:rFonts w:hint="eastAsia"/>
              </w:rPr>
              <w:t>级</w:t>
            </w:r>
          </w:p>
        </w:tc>
        <w:tc>
          <w:tcPr>
            <w:tcW w:w="0" w:type="auto"/>
            <w:vAlign w:val="center"/>
          </w:tcPr>
          <w:p>
            <w:pPr>
              <w:pStyle w:val="25"/>
              <w:jc w:val="center"/>
            </w:pPr>
            <w:r>
              <w:t>10—50</w:t>
            </w:r>
            <w:r>
              <w:rPr>
                <w:rFonts w:hint="eastAsia"/>
              </w:rPr>
              <w:t>人</w:t>
            </w:r>
          </w:p>
        </w:tc>
        <w:tc>
          <w:tcPr>
            <w:tcW w:w="0" w:type="auto"/>
            <w:vAlign w:val="center"/>
          </w:tcPr>
          <w:p>
            <w:pPr>
              <w:pStyle w:val="25"/>
              <w:jc w:val="center"/>
            </w:pPr>
            <w:r>
              <w:rPr>
                <w:rFonts w:hint="eastAsia"/>
              </w:rPr>
              <w:t>较重经济损失</w:t>
            </w:r>
          </w:p>
        </w:tc>
        <w:tc>
          <w:tcPr>
            <w:tcW w:w="0" w:type="auto"/>
            <w:vAlign w:val="center"/>
          </w:tcPr>
          <w:p>
            <w:pPr>
              <w:pStyle w:val="25"/>
              <w:jc w:val="center"/>
            </w:pPr>
            <w:r>
              <w:rPr>
                <w:rFonts w:hint="eastAsia"/>
              </w:rPr>
              <w:t>较大社会</w:t>
            </w:r>
          </w:p>
          <w:p>
            <w:pPr>
              <w:pStyle w:val="25"/>
              <w:jc w:val="center"/>
            </w:pPr>
            <w:r>
              <w:rPr>
                <w:rFonts w:hint="eastAsia"/>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0" w:type="auto"/>
            <w:vAlign w:val="center"/>
          </w:tcPr>
          <w:p>
            <w:pPr>
              <w:pStyle w:val="25"/>
              <w:jc w:val="center"/>
            </w:pPr>
            <w:r>
              <w:rPr>
                <w:rFonts w:hint="eastAsia"/>
              </w:rPr>
              <w:t>一般</w:t>
            </w:r>
          </w:p>
          <w:p>
            <w:pPr>
              <w:pStyle w:val="25"/>
              <w:jc w:val="center"/>
            </w:pPr>
            <w:r>
              <w:rPr>
                <w:rFonts w:hint="eastAsia"/>
              </w:rPr>
              <w:t>地震灾害</w:t>
            </w:r>
          </w:p>
        </w:tc>
        <w:tc>
          <w:tcPr>
            <w:tcW w:w="0" w:type="auto"/>
            <w:vAlign w:val="center"/>
          </w:tcPr>
          <w:p>
            <w:pPr>
              <w:pStyle w:val="25"/>
              <w:jc w:val="center"/>
            </w:pPr>
            <w:r>
              <w:rPr>
                <w:rFonts w:hint="eastAsia"/>
              </w:rPr>
              <w:t>人口较密集地区发生</w:t>
            </w:r>
          </w:p>
          <w:p>
            <w:pPr>
              <w:pStyle w:val="25"/>
              <w:jc w:val="center"/>
            </w:pPr>
            <w:r>
              <w:t>4.0</w:t>
            </w:r>
            <w:r>
              <w:rPr>
                <w:rFonts w:hint="eastAsia"/>
              </w:rPr>
              <w:t>≤</w:t>
            </w:r>
            <w:r>
              <w:t>M</w:t>
            </w:r>
            <w:r>
              <w:rPr>
                <w:rFonts w:hint="eastAsia"/>
              </w:rPr>
              <w:t>＜</w:t>
            </w:r>
            <w:r>
              <w:t>5.0</w:t>
            </w:r>
            <w:r>
              <w:rPr>
                <w:rFonts w:hint="eastAsia"/>
              </w:rPr>
              <w:t>级</w:t>
            </w:r>
          </w:p>
        </w:tc>
        <w:tc>
          <w:tcPr>
            <w:tcW w:w="0" w:type="auto"/>
            <w:vAlign w:val="center"/>
          </w:tcPr>
          <w:p>
            <w:pPr>
              <w:pStyle w:val="25"/>
              <w:jc w:val="center"/>
            </w:pPr>
            <w:r>
              <w:t>10</w:t>
            </w:r>
            <w:r>
              <w:rPr>
                <w:rFonts w:hint="eastAsia"/>
              </w:rPr>
              <w:t>人以下</w:t>
            </w:r>
          </w:p>
        </w:tc>
        <w:tc>
          <w:tcPr>
            <w:tcW w:w="0" w:type="auto"/>
            <w:vAlign w:val="center"/>
          </w:tcPr>
          <w:p>
            <w:pPr>
              <w:pStyle w:val="25"/>
              <w:jc w:val="center"/>
            </w:pPr>
            <w:r>
              <w:rPr>
                <w:rFonts w:hint="eastAsia"/>
              </w:rPr>
              <w:t>一定经济损失</w:t>
            </w:r>
          </w:p>
        </w:tc>
        <w:tc>
          <w:tcPr>
            <w:tcW w:w="0" w:type="auto"/>
            <w:vAlign w:val="center"/>
          </w:tcPr>
          <w:p>
            <w:pPr>
              <w:pStyle w:val="25"/>
              <w:jc w:val="center"/>
            </w:pPr>
            <w:r>
              <w:rPr>
                <w:rFonts w:hint="eastAsia"/>
              </w:rPr>
              <w:t>一定社会</w:t>
            </w:r>
          </w:p>
          <w:p>
            <w:pPr>
              <w:pStyle w:val="25"/>
              <w:jc w:val="center"/>
            </w:pPr>
            <w:r>
              <w:rPr>
                <w:rFonts w:hint="eastAsia"/>
              </w:rPr>
              <w:t>影响</w:t>
            </w:r>
          </w:p>
        </w:tc>
      </w:tr>
    </w:tbl>
    <w:p>
      <w:pPr>
        <w:ind w:firstLine="31680"/>
      </w:pPr>
      <w:r>
        <w:t>2</w:t>
      </w:r>
      <w:r>
        <w:rPr>
          <w:rFonts w:hint="eastAsia"/>
        </w:rPr>
        <w:t>、其它地震事件的划分</w:t>
      </w:r>
    </w:p>
    <w:p>
      <w:pPr>
        <w:ind w:firstLine="31680"/>
      </w:pPr>
      <w:r>
        <w:rPr>
          <w:rFonts w:hint="eastAsia"/>
        </w:rPr>
        <w:t>其它地震事件包括有感地震事件、地震谣传事件和外地特大地震事件。</w:t>
      </w:r>
    </w:p>
    <w:p>
      <w:pPr>
        <w:ind w:firstLine="31680"/>
      </w:pPr>
      <w:r>
        <w:t>1</w:t>
      </w:r>
      <w:r>
        <w:rPr>
          <w:rFonts w:hint="eastAsia"/>
        </w:rPr>
        <w:t>）有感地震事件</w:t>
      </w:r>
    </w:p>
    <w:p>
      <w:pPr>
        <w:ind w:firstLine="31680"/>
      </w:pPr>
      <w:r>
        <w:rPr>
          <w:rFonts w:hint="eastAsia"/>
        </w:rPr>
        <w:t>发生在我镇行政辖区内的</w:t>
      </w:r>
      <w:r>
        <w:t>3.0-3.9</w:t>
      </w:r>
      <w:r>
        <w:rPr>
          <w:rFonts w:hint="eastAsia"/>
        </w:rPr>
        <w:t>级地震及我镇有明显震感，造成一定社会影响的地震事件。</w:t>
      </w:r>
    </w:p>
    <w:p>
      <w:pPr>
        <w:ind w:firstLine="31680"/>
      </w:pPr>
      <w:r>
        <w:t>2</w:t>
      </w:r>
      <w:r>
        <w:rPr>
          <w:rFonts w:hint="eastAsia"/>
        </w:rPr>
        <w:t>）地震谣传事件</w:t>
      </w:r>
    </w:p>
    <w:p>
      <w:pPr>
        <w:ind w:firstLine="31680"/>
      </w:pPr>
      <w:r>
        <w:rPr>
          <w:rFonts w:hint="eastAsia"/>
        </w:rPr>
        <w:t>出现地震谣言，对我镇正常社会秩序造成严重影响的事件。</w:t>
      </w:r>
    </w:p>
    <w:p>
      <w:pPr>
        <w:ind w:firstLine="31680"/>
      </w:pPr>
      <w:r>
        <w:t>3</w:t>
      </w:r>
      <w:r>
        <w:rPr>
          <w:rFonts w:hint="eastAsia"/>
        </w:rPr>
        <w:t>）外地特大地震事件</w:t>
      </w:r>
    </w:p>
    <w:p>
      <w:pPr>
        <w:ind w:firstLine="31680"/>
      </w:pPr>
      <w:r>
        <w:rPr>
          <w:rFonts w:hint="eastAsia"/>
        </w:rPr>
        <w:t>我镇行政辖区范围以外的</w:t>
      </w:r>
      <w:r>
        <w:t>7.0</w:t>
      </w:r>
      <w:r>
        <w:rPr>
          <w:rFonts w:hint="eastAsia"/>
        </w:rPr>
        <w:t>级以上且造成特别重大损失的地震事件。</w:t>
      </w:r>
    </w:p>
    <w:p>
      <w:pPr>
        <w:pStyle w:val="4"/>
        <w:rPr>
          <w:lang w:val="en-US"/>
        </w:rPr>
      </w:pPr>
      <w:bookmarkStart w:id="32" w:name="_Toc6456"/>
      <w:r>
        <w:rPr>
          <w:lang w:val="en-US"/>
        </w:rPr>
        <w:t xml:space="preserve">4.2 </w:t>
      </w:r>
      <w:r>
        <w:rPr>
          <w:rFonts w:hint="eastAsia"/>
          <w:lang w:val="en-US"/>
        </w:rPr>
        <w:t>分级响应</w:t>
      </w:r>
      <w:bookmarkEnd w:id="32"/>
    </w:p>
    <w:p>
      <w:pPr>
        <w:ind w:firstLine="31680"/>
      </w:pPr>
      <w:r>
        <w:rPr>
          <w:rFonts w:hint="eastAsia"/>
        </w:rPr>
        <w:t>根据地震灾害分级情况，将地震灾害应急响应分为Ⅰ级、Ⅱ级、Ⅲ级和</w:t>
      </w:r>
      <w:r>
        <w:fldChar w:fldCharType="begin"/>
      </w:r>
      <w:r>
        <w:instrText xml:space="preserve"> = 4 \* ROMAN \* MERGEFORMAT </w:instrText>
      </w:r>
      <w:r>
        <w:fldChar w:fldCharType="separate"/>
      </w:r>
      <w:r>
        <w:t>IV</w:t>
      </w:r>
      <w:r>
        <w:fldChar w:fldCharType="end"/>
      </w:r>
      <w:r>
        <w:rPr>
          <w:rFonts w:hint="eastAsia"/>
        </w:rPr>
        <w:t>级响应，地震应急响应级别及抗震救灾指挥机构详见下表</w:t>
      </w:r>
      <w:r>
        <w:t>4-2</w:t>
      </w:r>
      <w:r>
        <w:rPr>
          <w:rFonts w:hint="eastAsia"/>
        </w:rPr>
        <w:t>。</w:t>
      </w:r>
    </w:p>
    <w:p>
      <w:pPr>
        <w:pStyle w:val="26"/>
        <w:rPr>
          <w:lang w:val="en-US"/>
        </w:rPr>
      </w:pPr>
      <w:r>
        <w:rPr>
          <w:rFonts w:hint="eastAsia"/>
          <w:lang w:val="en-US"/>
        </w:rPr>
        <w:t>表</w:t>
      </w:r>
      <w:r>
        <w:rPr>
          <w:lang w:val="en-US"/>
        </w:rPr>
        <w:t xml:space="preserve">4-2 </w:t>
      </w:r>
      <w:r>
        <w:rPr>
          <w:rFonts w:hint="eastAsia"/>
          <w:lang w:val="en-US"/>
        </w:rPr>
        <w:t>地震应急响应级别一览表</w:t>
      </w:r>
    </w:p>
    <w:tbl>
      <w:tblPr>
        <w:tblStyle w:val="12"/>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156"/>
        <w:gridCol w:w="5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09" w:type="dxa"/>
            <w:vAlign w:val="center"/>
          </w:tcPr>
          <w:p>
            <w:pPr>
              <w:pStyle w:val="25"/>
              <w:jc w:val="center"/>
            </w:pPr>
            <w:r>
              <w:rPr>
                <w:rFonts w:hint="eastAsia"/>
              </w:rPr>
              <w:t>地震灾害事件</w:t>
            </w:r>
          </w:p>
        </w:tc>
        <w:tc>
          <w:tcPr>
            <w:tcW w:w="1156" w:type="dxa"/>
            <w:vAlign w:val="center"/>
          </w:tcPr>
          <w:p>
            <w:pPr>
              <w:pStyle w:val="25"/>
              <w:jc w:val="center"/>
            </w:pPr>
            <w:r>
              <w:rPr>
                <w:rFonts w:hint="eastAsia"/>
              </w:rPr>
              <w:t>响应级别</w:t>
            </w:r>
          </w:p>
        </w:tc>
        <w:tc>
          <w:tcPr>
            <w:tcW w:w="5874" w:type="dxa"/>
            <w:vAlign w:val="center"/>
          </w:tcPr>
          <w:p>
            <w:pPr>
              <w:pStyle w:val="25"/>
              <w:jc w:val="both"/>
            </w:pPr>
            <w:r>
              <w:rPr>
                <w:rFonts w:hint="eastAsia"/>
              </w:rPr>
              <w:t>抗震救灾指挥机构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09" w:type="dxa"/>
            <w:vAlign w:val="center"/>
          </w:tcPr>
          <w:p>
            <w:pPr>
              <w:pStyle w:val="25"/>
              <w:jc w:val="center"/>
            </w:pPr>
            <w:r>
              <w:rPr>
                <w:rFonts w:hint="eastAsia"/>
              </w:rPr>
              <w:t>特别重大地震灾害事件</w:t>
            </w:r>
          </w:p>
        </w:tc>
        <w:tc>
          <w:tcPr>
            <w:tcW w:w="1156" w:type="dxa"/>
            <w:vAlign w:val="center"/>
          </w:tcPr>
          <w:p>
            <w:pPr>
              <w:pStyle w:val="25"/>
              <w:jc w:val="center"/>
            </w:pPr>
            <w:r>
              <w:rPr>
                <w:rFonts w:hint="eastAsia"/>
              </w:rPr>
              <w:t>Ⅰ级响应</w:t>
            </w:r>
          </w:p>
        </w:tc>
        <w:tc>
          <w:tcPr>
            <w:tcW w:w="5874" w:type="dxa"/>
            <w:vAlign w:val="center"/>
          </w:tcPr>
          <w:p>
            <w:pPr>
              <w:pStyle w:val="25"/>
              <w:jc w:val="both"/>
            </w:pPr>
            <w:r>
              <w:rPr>
                <w:rFonts w:hint="eastAsia"/>
              </w:rPr>
              <w:t>在应急管理部、自治区、市抗震救灾指挥部的统一领导、指挥下，旗抗震救灾指挥部组织开展地震应急工作。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09" w:type="dxa"/>
            <w:vAlign w:val="center"/>
          </w:tcPr>
          <w:p>
            <w:pPr>
              <w:pStyle w:val="25"/>
              <w:jc w:val="center"/>
            </w:pPr>
            <w:r>
              <w:rPr>
                <w:rFonts w:hint="eastAsia"/>
              </w:rPr>
              <w:t>重大地震灾害事件</w:t>
            </w:r>
          </w:p>
        </w:tc>
        <w:tc>
          <w:tcPr>
            <w:tcW w:w="1156" w:type="dxa"/>
            <w:vAlign w:val="center"/>
          </w:tcPr>
          <w:p>
            <w:pPr>
              <w:pStyle w:val="25"/>
              <w:jc w:val="center"/>
            </w:pPr>
            <w:r>
              <w:rPr>
                <w:rFonts w:hint="eastAsia"/>
              </w:rPr>
              <w:t>Ⅱ级响应</w:t>
            </w:r>
          </w:p>
        </w:tc>
        <w:tc>
          <w:tcPr>
            <w:tcW w:w="5874" w:type="dxa"/>
            <w:vAlign w:val="center"/>
          </w:tcPr>
          <w:p>
            <w:pPr>
              <w:pStyle w:val="25"/>
              <w:jc w:val="both"/>
            </w:pPr>
            <w:r>
              <w:rPr>
                <w:rFonts w:hint="eastAsia"/>
              </w:rPr>
              <w:t>在自治区、市抗震救灾指挥部的支持下，旗抗震救灾指挥部组织开展地震应急工作。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09" w:type="dxa"/>
            <w:vAlign w:val="center"/>
          </w:tcPr>
          <w:p>
            <w:pPr>
              <w:pStyle w:val="25"/>
              <w:jc w:val="center"/>
            </w:pPr>
            <w:r>
              <w:rPr>
                <w:rFonts w:hint="eastAsia"/>
              </w:rPr>
              <w:t>较大地震灾害事件</w:t>
            </w:r>
          </w:p>
        </w:tc>
        <w:tc>
          <w:tcPr>
            <w:tcW w:w="1156" w:type="dxa"/>
            <w:vAlign w:val="center"/>
          </w:tcPr>
          <w:p>
            <w:pPr>
              <w:pStyle w:val="25"/>
              <w:jc w:val="center"/>
            </w:pPr>
            <w:r>
              <w:rPr>
                <w:rFonts w:hint="eastAsia"/>
              </w:rPr>
              <w:t>Ⅲ级响应</w:t>
            </w:r>
          </w:p>
        </w:tc>
        <w:tc>
          <w:tcPr>
            <w:tcW w:w="5874" w:type="dxa"/>
            <w:vAlign w:val="center"/>
          </w:tcPr>
          <w:p>
            <w:pPr>
              <w:pStyle w:val="25"/>
              <w:jc w:val="both"/>
            </w:pPr>
            <w:r>
              <w:rPr>
                <w:rFonts w:hint="eastAsia"/>
              </w:rPr>
              <w:t>在市抗震救灾指挥部的支持下，旗抗震救灾指挥部组织开展地震应急工作。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09" w:type="dxa"/>
            <w:vAlign w:val="center"/>
          </w:tcPr>
          <w:p>
            <w:pPr>
              <w:pStyle w:val="25"/>
              <w:jc w:val="center"/>
            </w:pPr>
            <w:r>
              <w:rPr>
                <w:rFonts w:hint="eastAsia"/>
              </w:rPr>
              <w:t>一般地震灾害事件</w:t>
            </w:r>
          </w:p>
        </w:tc>
        <w:tc>
          <w:tcPr>
            <w:tcW w:w="1156" w:type="dxa"/>
            <w:vAlign w:val="center"/>
          </w:tcPr>
          <w:p>
            <w:pPr>
              <w:pStyle w:val="25"/>
              <w:jc w:val="center"/>
            </w:pPr>
            <w:r>
              <w:fldChar w:fldCharType="begin"/>
            </w:r>
            <w:r>
              <w:instrText xml:space="preserve"> = 4 \* ROMAN \* MERGEFORMAT </w:instrText>
            </w:r>
            <w:r>
              <w:fldChar w:fldCharType="separate"/>
            </w:r>
            <w:r>
              <w:t>IV</w:t>
            </w:r>
            <w:r>
              <w:fldChar w:fldCharType="end"/>
            </w:r>
            <w:r>
              <w:rPr>
                <w:rFonts w:hint="eastAsia"/>
              </w:rPr>
              <w:t>级响应</w:t>
            </w:r>
          </w:p>
        </w:tc>
        <w:tc>
          <w:tcPr>
            <w:tcW w:w="5874" w:type="dxa"/>
            <w:vAlign w:val="center"/>
          </w:tcPr>
          <w:p>
            <w:pPr>
              <w:pStyle w:val="25"/>
              <w:jc w:val="both"/>
            </w:pPr>
            <w:r>
              <w:rPr>
                <w:rFonts w:hint="eastAsia"/>
              </w:rPr>
              <w:t>镇抗震救灾指挥部负责统一指挥、协调和组织实施本行政辖区的地震应急处置。</w:t>
            </w:r>
          </w:p>
        </w:tc>
      </w:tr>
    </w:tbl>
    <w:p>
      <w:pPr>
        <w:pStyle w:val="4"/>
        <w:rPr>
          <w:lang w:val="en-US"/>
        </w:rPr>
      </w:pPr>
      <w:bookmarkStart w:id="33" w:name="_Toc19313"/>
      <w:r>
        <w:rPr>
          <w:lang w:val="en-US"/>
        </w:rPr>
        <w:t xml:space="preserve">4.3 </w:t>
      </w:r>
      <w:r>
        <w:rPr>
          <w:rFonts w:hint="eastAsia"/>
          <w:lang w:val="en-US"/>
        </w:rPr>
        <w:t>响应启动程序</w:t>
      </w:r>
      <w:bookmarkEnd w:id="33"/>
    </w:p>
    <w:p>
      <w:pPr>
        <w:ind w:firstLine="31680"/>
      </w:pPr>
      <w:r>
        <w:rPr>
          <w:rFonts w:hint="eastAsia"/>
        </w:rPr>
        <w:t>地震灾害应对遵循分级负责、属地为主的原则。当地震事件超出镇人民政府的应对能力时，由巴林左旗人民政府提供支援或者负责应对。地震灾害发生后，镇人民政府根据地震灾害初判级别、应急处置能力以及预期影响后果，综合研判确定本层级响应级别。对于发生在重点地区或重大活动举办、重要会议召开等时期的地震灾害，可适当提高响应级别。应急响应启动后，根据地震灾害事态发展情况及时对响应级别进行调整。</w:t>
      </w:r>
    </w:p>
    <w:p>
      <w:pPr>
        <w:ind w:firstLine="31680"/>
      </w:pPr>
      <w:r>
        <w:t>1</w:t>
      </w:r>
      <w:r>
        <w:rPr>
          <w:rFonts w:hint="eastAsia"/>
        </w:rPr>
        <w:t>、特别重大和重大地震灾害事件（Ⅰ级、Ⅱ级）</w:t>
      </w:r>
    </w:p>
    <w:p>
      <w:pPr>
        <w:ind w:firstLine="31680"/>
      </w:pPr>
      <w:r>
        <w:rPr>
          <w:rFonts w:hint="eastAsia"/>
        </w:rPr>
        <w:t>特别重大和重大地震发生后，镇人民政府立即向旗人民政府及旗应急管理局报告地震参数和灾情初步判断意见，提出响应级别和抗震救灾的初步建议。镇人民政府根据震情和灾情确定响应级别，其中，特别重大地震灾害的应急工作接受国务院抗震救灾指挥机构的统一领导。重大地震灾的应急工作接受自治区抗震救灾指挥机构的统一领导。镇人民政府先行自动按照地震应急预案处置地震事件，待自治区人民政府确定响应级别后，按照自治区的统一部署开展抗震救灾工作。</w:t>
      </w:r>
    </w:p>
    <w:p>
      <w:pPr>
        <w:ind w:firstLine="31680"/>
      </w:pPr>
      <w:r>
        <w:t>2</w:t>
      </w:r>
      <w:r>
        <w:rPr>
          <w:rFonts w:hint="eastAsia"/>
        </w:rPr>
        <w:t>、较大地震灾害事件（Ⅲ级响应）的应急管理</w:t>
      </w:r>
    </w:p>
    <w:p>
      <w:pPr>
        <w:ind w:firstLine="31680"/>
      </w:pPr>
      <w:r>
        <w:rPr>
          <w:rFonts w:hint="eastAsia"/>
        </w:rPr>
        <w:t>较大地震灾害的应急工作接受巴林左旗抗震救灾指挥机构的统一领导。</w:t>
      </w:r>
    </w:p>
    <w:p>
      <w:pPr>
        <w:ind w:firstLine="31680"/>
      </w:pPr>
      <w:r>
        <w:t>3</w:t>
      </w:r>
      <w:r>
        <w:rPr>
          <w:rFonts w:hint="eastAsia"/>
        </w:rPr>
        <w:t>、一般地震灾害事件（</w:t>
      </w:r>
      <w:r>
        <w:t>IV</w:t>
      </w:r>
      <w:r>
        <w:rPr>
          <w:rFonts w:hint="eastAsia"/>
        </w:rPr>
        <w:t>级响应）的应急管理</w:t>
      </w:r>
    </w:p>
    <w:p>
      <w:pPr>
        <w:ind w:firstLine="31680"/>
      </w:pPr>
      <w:r>
        <w:rPr>
          <w:rFonts w:hint="eastAsia"/>
        </w:rPr>
        <w:t>一般地震灾害发生后，由镇人民政府负责统一指挥、协调和组织实施本行政辖区的地震应急处置。</w:t>
      </w:r>
    </w:p>
    <w:bookmarkEnd w:id="27"/>
    <w:p>
      <w:pPr>
        <w:pStyle w:val="3"/>
        <w:jc w:val="center"/>
        <w:rPr>
          <w:lang w:val="en-US" w:bidi="ar-SA"/>
        </w:rPr>
      </w:pPr>
      <w:bookmarkStart w:id="34" w:name="_Toc4921"/>
      <w:r>
        <w:rPr>
          <w:lang w:val="en-US"/>
        </w:rPr>
        <w:t xml:space="preserve">5  </w:t>
      </w:r>
      <w:r>
        <w:rPr>
          <w:rFonts w:hint="eastAsia"/>
          <w:lang w:val="en-US" w:bidi="ar-SA"/>
        </w:rPr>
        <w:t>应急响应措施</w:t>
      </w:r>
      <w:bookmarkEnd w:id="34"/>
    </w:p>
    <w:p>
      <w:pPr>
        <w:ind w:firstLine="31680"/>
        <w:rPr>
          <w:rFonts w:ascii="宋体" w:cs="宋体"/>
          <w:color w:val="000000"/>
          <w:kern w:val="44"/>
        </w:rPr>
      </w:pPr>
      <w:r>
        <w:rPr>
          <w:rFonts w:hint="eastAsia"/>
        </w:rPr>
        <w:t>镇人民政府根据灾情和抗震救灾需要，采取以下应急响应措施。</w:t>
      </w:r>
    </w:p>
    <w:p>
      <w:pPr>
        <w:pStyle w:val="4"/>
        <w:rPr>
          <w:lang w:val="en-US"/>
        </w:rPr>
      </w:pPr>
      <w:bookmarkStart w:id="35" w:name="_Toc23419"/>
      <w:r>
        <w:rPr>
          <w:lang w:val="en-US"/>
        </w:rPr>
        <w:t xml:space="preserve">5.1 </w:t>
      </w:r>
      <w:r>
        <w:rPr>
          <w:rFonts w:hint="eastAsia"/>
          <w:lang w:val="en-US"/>
        </w:rPr>
        <w:t>搜救人员</w:t>
      </w:r>
      <w:bookmarkEnd w:id="35"/>
    </w:p>
    <w:p>
      <w:pPr>
        <w:ind w:firstLine="31680"/>
      </w:pPr>
      <w:r>
        <w:rPr>
          <w:rFonts w:hint="eastAsia"/>
        </w:rPr>
        <w:t>立即组织各级应急队伍和广大群众开展自救互救，同时组织协调镇派出所、镇人民武装部、各行政村等各方面救援力量，调配大型吊车、起重机等救援装备，抢救被压埋人员。现场各救援队伍之间加强衔接和配合，合理划分责任区边界，遇有危险时及时传递警报，做好自身安全防护。</w:t>
      </w:r>
    </w:p>
    <w:p>
      <w:pPr>
        <w:pStyle w:val="4"/>
        <w:rPr>
          <w:lang w:val="en-US"/>
        </w:rPr>
      </w:pPr>
      <w:bookmarkStart w:id="36" w:name="_Toc13080"/>
      <w:r>
        <w:rPr>
          <w:lang w:val="en-US"/>
        </w:rPr>
        <w:t xml:space="preserve">5.2 </w:t>
      </w:r>
      <w:r>
        <w:rPr>
          <w:rFonts w:hint="eastAsia"/>
          <w:lang w:val="en-US"/>
        </w:rPr>
        <w:t>开展医疗救治和卫生防疫</w:t>
      </w:r>
      <w:bookmarkEnd w:id="36"/>
    </w:p>
    <w:p>
      <w:pPr>
        <w:ind w:firstLine="31680"/>
      </w:pPr>
      <w:r>
        <w:rPr>
          <w:rFonts w:hint="eastAsia"/>
        </w:rPr>
        <w:t>迅速组织协调应急医疗队伍赶赴现场，抢救受伤群众，必要时建立野外流动医院或医疗点，实施现场救治。加强救护车、医疗器械、药品和血浆的组织调度，特别是加大对重灾区及偏远地区医疗器械、药品供应，确保被救（伤、病）人员得到及时医治，最大程度减少伤员致死、致残；统筹周边地区的医疗资源，根据需要分流重伤员，实施异地救治。同时开展灾后心理援助。</w:t>
      </w:r>
    </w:p>
    <w:p>
      <w:pPr>
        <w:ind w:firstLine="31680"/>
        <w:rPr>
          <w:rFonts w:ascii="宋体" w:cs="宋体"/>
          <w:color w:val="000000"/>
          <w:kern w:val="44"/>
        </w:rPr>
      </w:pPr>
      <w:r>
        <w:rPr>
          <w:rFonts w:hint="eastAsia"/>
        </w:rPr>
        <w:t>加强灾区卫生防疫工作。及时对灾区水源进行监测消毒，开展食品安全风险监测和饮用水监督；妥善处置遇难者遗体，做好死亡动物、医疗废弃物、生活垃圾、粪便等消毒和无害化处理；加强鼠疫、狂犬病以及霍乱等肠道传染病的监测、防控和处理，有针对性接种疫苗；实行重大传染病和突发卫生事件每日报告制度。</w:t>
      </w:r>
    </w:p>
    <w:p>
      <w:pPr>
        <w:pStyle w:val="4"/>
        <w:rPr>
          <w:lang w:val="en-US"/>
        </w:rPr>
      </w:pPr>
      <w:bookmarkStart w:id="37" w:name="_Toc11659"/>
      <w:r>
        <w:rPr>
          <w:lang w:val="en-US"/>
        </w:rPr>
        <w:t xml:space="preserve">5.3 </w:t>
      </w:r>
      <w:r>
        <w:rPr>
          <w:rFonts w:hint="eastAsia"/>
          <w:lang w:val="en-US"/>
        </w:rPr>
        <w:t>安置受灾群众</w:t>
      </w:r>
      <w:bookmarkEnd w:id="37"/>
    </w:p>
    <w:p>
      <w:pPr>
        <w:ind w:firstLine="31680"/>
      </w:pPr>
      <w:r>
        <w:rPr>
          <w:rFonts w:hint="eastAsia"/>
        </w:rPr>
        <w:t>开放应急避难场所，组织筹集和调运食品、饮用水、衣被、帐篷、移动厕所等各类救灾物资，解决受灾群众吃饭、饮水、穿衣、住处等问题；在受灾行政村设置生活用品发放点，确保生活用品的有序发放；根据需要组织生产、调运、安装活动板房和简易房；在受灾群众集中安置点配备必要的消防设备器材，严防火灾发生。救灾物资优先保证学校、医院、福利院的需要；优先安置孤儿、孤老及残疾人员，确保其基本生活。鼓励采取投亲靠友等方式进行自救；广泛动员社会力量安置受灾群众；做好遇难人员的善后工作，抚慰遇难者家属；积极创造条件，组织灾区学校复课。</w:t>
      </w:r>
    </w:p>
    <w:p>
      <w:pPr>
        <w:pStyle w:val="4"/>
        <w:rPr>
          <w:lang w:val="en-US"/>
        </w:rPr>
      </w:pPr>
      <w:bookmarkStart w:id="38" w:name="_Toc17154"/>
      <w:r>
        <w:rPr>
          <w:lang w:val="en-US"/>
        </w:rPr>
        <w:t xml:space="preserve">5.4 </w:t>
      </w:r>
      <w:r>
        <w:rPr>
          <w:rFonts w:hint="eastAsia"/>
          <w:lang w:val="en-US"/>
        </w:rPr>
        <w:t>抢修基础设施</w:t>
      </w:r>
      <w:bookmarkEnd w:id="38"/>
    </w:p>
    <w:p>
      <w:pPr>
        <w:ind w:firstLine="31680"/>
      </w:pPr>
      <w:r>
        <w:rPr>
          <w:rFonts w:hint="eastAsia"/>
        </w:rPr>
        <w:t>抢通修复因灾损毁的公路、桥梁等交通设施，协调运力，优先保证应急抢险救援人员、救灾物资和伤病人员的运输需要；抢修供电、通信、广播电视等基础设施，保障灾区群众基本生活需要和应急工作需要。</w:t>
      </w:r>
    </w:p>
    <w:p>
      <w:pPr>
        <w:pStyle w:val="4"/>
        <w:rPr>
          <w:lang w:val="en-US"/>
        </w:rPr>
      </w:pPr>
      <w:bookmarkStart w:id="39" w:name="_Toc6682"/>
      <w:r>
        <w:rPr>
          <w:lang w:val="en-US"/>
        </w:rPr>
        <w:t xml:space="preserve">5.5 </w:t>
      </w:r>
      <w:r>
        <w:rPr>
          <w:rFonts w:hint="eastAsia"/>
          <w:lang w:val="en-US"/>
        </w:rPr>
        <w:t>加强现场监测</w:t>
      </w:r>
      <w:bookmarkEnd w:id="39"/>
    </w:p>
    <w:p>
      <w:pPr>
        <w:ind w:firstLine="31680"/>
      </w:pPr>
      <w:r>
        <w:rPr>
          <w:rFonts w:hint="eastAsia"/>
        </w:rPr>
        <w:t>组织布设或恢复地震现场测震和前兆台站，实时跟踪地震序列活动，密切监视震情发展，对灾区震情形势进行研判；加强气象监测，密切关注灾区重大气象变化；建议旗抗震救灾指挥部安排专业力量加强空气、水源、土壤污染监测，减轻或消除污染危害。</w:t>
      </w:r>
    </w:p>
    <w:p>
      <w:pPr>
        <w:pStyle w:val="4"/>
        <w:rPr>
          <w:lang w:val="en-US"/>
        </w:rPr>
      </w:pPr>
      <w:bookmarkStart w:id="40" w:name="_Toc7305"/>
      <w:r>
        <w:rPr>
          <w:lang w:val="en-US"/>
        </w:rPr>
        <w:t xml:space="preserve">5.6 </w:t>
      </w:r>
      <w:r>
        <w:rPr>
          <w:rFonts w:hint="eastAsia"/>
          <w:lang w:val="en-US"/>
        </w:rPr>
        <w:t>防御次生灾害</w:t>
      </w:r>
      <w:bookmarkEnd w:id="40"/>
    </w:p>
    <w:p>
      <w:pPr>
        <w:ind w:firstLine="31680"/>
        <w:rPr>
          <w:rFonts w:ascii="宋体" w:cs="宋体"/>
          <w:color w:val="000000"/>
          <w:kern w:val="44"/>
        </w:rPr>
      </w:pPr>
      <w:r>
        <w:rPr>
          <w:rFonts w:hint="eastAsia"/>
        </w:rPr>
        <w:t>加强次生灾害监测预警，防范因强余震和降雨形成的滑坡、泥石流、滚石等造成新的人员伤亡和交通堵塞；组织专家对水库、堤坝等开展险情排查、评估和除险加固，必要时组织下游危险地区人员转移；加强危险化学品生产储存设备、输配电线路、供电等受损情况排查，及时采取安全防范措施。</w:t>
      </w:r>
    </w:p>
    <w:p>
      <w:pPr>
        <w:pStyle w:val="4"/>
        <w:rPr>
          <w:lang w:val="en-US"/>
        </w:rPr>
      </w:pPr>
      <w:bookmarkStart w:id="41" w:name="_Toc21384"/>
      <w:r>
        <w:rPr>
          <w:lang w:val="en-US"/>
        </w:rPr>
        <w:t xml:space="preserve">5.7 </w:t>
      </w:r>
      <w:r>
        <w:rPr>
          <w:rFonts w:hint="eastAsia"/>
          <w:lang w:val="en-US"/>
        </w:rPr>
        <w:t>维护社会治安</w:t>
      </w:r>
      <w:bookmarkEnd w:id="41"/>
    </w:p>
    <w:p>
      <w:pPr>
        <w:ind w:firstLine="31680"/>
      </w:pPr>
      <w:r>
        <w:rPr>
          <w:rFonts w:hint="eastAsia"/>
        </w:rPr>
        <w:t>严厉打击盗窃、抢劫、哄抢救灾物资、借机传播谣言制造社会恐慌等违法犯罪行为；在受灾群众安置点、救灾物资存放点等重点地区，增设临时警务站，加强治安巡逻，增强灾区群众的安全感；加强对党政机关、金融单位、储备仓库等重要场所的警戒；做好涉灾矛盾纠纷化解、法律服务和法律援助工作，维护社会稳定。</w:t>
      </w:r>
    </w:p>
    <w:p>
      <w:pPr>
        <w:pStyle w:val="4"/>
        <w:rPr>
          <w:lang w:val="en-US"/>
        </w:rPr>
      </w:pPr>
      <w:bookmarkStart w:id="42" w:name="_Toc13142"/>
      <w:r>
        <w:rPr>
          <w:lang w:val="en-US"/>
        </w:rPr>
        <w:t xml:space="preserve">5.8 </w:t>
      </w:r>
      <w:r>
        <w:rPr>
          <w:rFonts w:hint="eastAsia"/>
          <w:lang w:val="en-US"/>
        </w:rPr>
        <w:t>开展社会动员</w:t>
      </w:r>
      <w:bookmarkEnd w:id="42"/>
    </w:p>
    <w:p>
      <w:pPr>
        <w:ind w:firstLine="31680"/>
      </w:pPr>
      <w:r>
        <w:rPr>
          <w:rFonts w:hint="eastAsia"/>
        </w:rPr>
        <w:t>镇抗震救灾指挥部明确专门的组织机构或人员，加强志愿服务管理；及时开通志愿服务联系电话，统一接收志愿者组织报名，做好志愿者派遣和相关服务工作；根据灾区需求、交通运输等情况，向社会公布志愿服务需求指南，引导志愿者安全有序参与；视情开展为灾区人民捐款捐物活动，加强救灾捐赠的组织发动和款物接收、统计、分配、使用、公示反馈等各环节工作；必要时，组织非灾区人民政府，通过提供人力、物力、财力等形式，对灾区群众生活安置、伤员救治、卫生防疫、基础设施抢修和生产恢复等开展对口支援。</w:t>
      </w:r>
    </w:p>
    <w:p>
      <w:pPr>
        <w:pStyle w:val="4"/>
        <w:rPr>
          <w:lang w:val="en-US"/>
        </w:rPr>
      </w:pPr>
      <w:bookmarkStart w:id="43" w:name="_Toc1659"/>
      <w:r>
        <w:rPr>
          <w:lang w:val="en-US"/>
        </w:rPr>
        <w:t xml:space="preserve">5.9 </w:t>
      </w:r>
      <w:r>
        <w:rPr>
          <w:rFonts w:hint="eastAsia"/>
          <w:lang w:val="en-US"/>
        </w:rPr>
        <w:t>加强涉外事务管理</w:t>
      </w:r>
      <w:bookmarkEnd w:id="43"/>
    </w:p>
    <w:p>
      <w:pPr>
        <w:ind w:firstLine="31680"/>
      </w:pPr>
      <w:r>
        <w:rPr>
          <w:rFonts w:hint="eastAsia"/>
        </w:rPr>
        <w:t>加强涉外事务管理，妥善安置在灾区工作和旅游的国（境）外人员，按照相关规定及时将有关情况逐级上报有关部门。</w:t>
      </w:r>
    </w:p>
    <w:p>
      <w:pPr>
        <w:pStyle w:val="4"/>
        <w:rPr>
          <w:lang w:val="en-US"/>
        </w:rPr>
      </w:pPr>
      <w:bookmarkStart w:id="44" w:name="_Toc29330"/>
      <w:r>
        <w:rPr>
          <w:lang w:val="en-US"/>
        </w:rPr>
        <w:t xml:space="preserve">5.10 </w:t>
      </w:r>
      <w:r>
        <w:rPr>
          <w:rFonts w:hint="eastAsia"/>
          <w:lang w:val="en-US"/>
        </w:rPr>
        <w:t>信息发布</w:t>
      </w:r>
      <w:bookmarkEnd w:id="44"/>
    </w:p>
    <w:p>
      <w:pPr>
        <w:ind w:firstLine="31680"/>
      </w:pPr>
      <w:r>
        <w:rPr>
          <w:rFonts w:hint="eastAsia"/>
        </w:rPr>
        <w:t>信息发布按照各级抗震救灾指挥部按照分级响应原则，分别负责相应级别地震灾害信息发布工作，回应社会关切。信息发布要统一、及时、准确、客观。</w:t>
      </w:r>
    </w:p>
    <w:p>
      <w:pPr>
        <w:ind w:firstLine="31680"/>
      </w:pPr>
      <w:r>
        <w:t>1</w:t>
      </w:r>
      <w:r>
        <w:rPr>
          <w:rFonts w:hint="eastAsia"/>
        </w:rPr>
        <w:t>、抗震救灾的信息应当由各级抗震救灾指挥部新闻发言人负责发布，信息应及时、准确、客观、全面。</w:t>
      </w:r>
    </w:p>
    <w:p>
      <w:pPr>
        <w:ind w:firstLine="31680"/>
      </w:pPr>
      <w:r>
        <w:t>2</w:t>
      </w:r>
      <w:r>
        <w:rPr>
          <w:rFonts w:hint="eastAsia"/>
        </w:rPr>
        <w:t>、震情及抗震救灾动态等，由镇抗震救灾指挥部统一审核。</w:t>
      </w:r>
    </w:p>
    <w:p>
      <w:pPr>
        <w:ind w:firstLine="31680"/>
      </w:pPr>
      <w:r>
        <w:t>3</w:t>
      </w:r>
      <w:r>
        <w:rPr>
          <w:rFonts w:hint="eastAsia"/>
        </w:rPr>
        <w:t>、信息发布形式主要包括授权发布、组织新闻通稿、组织报道、接受记者采访、举行新闻发布会等。</w:t>
      </w:r>
    </w:p>
    <w:p>
      <w:pPr>
        <w:ind w:firstLine="31680"/>
      </w:pPr>
      <w:r>
        <w:t>4</w:t>
      </w:r>
      <w:r>
        <w:rPr>
          <w:rFonts w:hint="eastAsia"/>
        </w:rPr>
        <w:t>、镇信息发布：由抗震救灾指挥机构负责审核和发布。</w:t>
      </w:r>
    </w:p>
    <w:p>
      <w:pPr>
        <w:pStyle w:val="4"/>
        <w:rPr>
          <w:lang w:val="en-US"/>
        </w:rPr>
      </w:pPr>
      <w:bookmarkStart w:id="45" w:name="BM4_10应急结束"/>
      <w:bookmarkEnd w:id="45"/>
      <w:bookmarkStart w:id="46" w:name="_bookmark21"/>
      <w:bookmarkEnd w:id="46"/>
      <w:bookmarkStart w:id="47" w:name="_Toc1576"/>
      <w:r>
        <w:rPr>
          <w:lang w:val="en-US"/>
        </w:rPr>
        <w:t xml:space="preserve">5.11 </w:t>
      </w:r>
      <w:r>
        <w:rPr>
          <w:rFonts w:hint="eastAsia"/>
          <w:lang w:val="en-US"/>
        </w:rPr>
        <w:t>灾害调查与评估</w:t>
      </w:r>
      <w:bookmarkEnd w:id="47"/>
    </w:p>
    <w:p>
      <w:pPr>
        <w:ind w:firstLine="31680"/>
      </w:pPr>
      <w:r>
        <w:rPr>
          <w:rFonts w:hint="eastAsia"/>
        </w:rPr>
        <w:t>开展地震烈度、发震构造、地震宏观异常现象、工程结构震害特征、地震社会影响和各种地震地质灾害调查等。深入灾区调查受灾人口、成灾人口、人员伤亡数量、建构筑物和基础设施破坏程度、环境影响程度等，组织专家开展灾害损失评估，形成地震灾害损失调查评估报告，并上报镇人民政府。</w:t>
      </w:r>
    </w:p>
    <w:p>
      <w:pPr>
        <w:pStyle w:val="4"/>
        <w:rPr>
          <w:lang w:val="en-US"/>
        </w:rPr>
      </w:pPr>
      <w:bookmarkStart w:id="48" w:name="_Toc27271"/>
      <w:r>
        <w:rPr>
          <w:lang w:val="en-US"/>
        </w:rPr>
        <w:t xml:space="preserve">5.12 </w:t>
      </w:r>
      <w:r>
        <w:rPr>
          <w:rFonts w:hint="eastAsia"/>
          <w:lang w:val="en-US"/>
        </w:rPr>
        <w:t>应急结束</w:t>
      </w:r>
      <w:bookmarkEnd w:id="48"/>
    </w:p>
    <w:p>
      <w:pPr>
        <w:pStyle w:val="5"/>
        <w:spacing w:line="360" w:lineRule="auto"/>
        <w:ind w:left="0" w:right="0" w:firstLine="31680"/>
        <w:jc w:val="both"/>
        <w:rPr>
          <w:rFonts w:ascii="宋体" w:hAnsi="宋体" w:eastAsia="宋体" w:cs="宋体"/>
          <w:color w:val="000000"/>
          <w:kern w:val="44"/>
          <w:sz w:val="28"/>
          <w:szCs w:val="28"/>
          <w:lang w:val="en-US"/>
        </w:rPr>
      </w:pPr>
      <w:r>
        <w:rPr>
          <w:rFonts w:hint="eastAsia" w:ascii="宋体" w:hAnsi="宋体" w:eastAsia="宋体" w:cs="宋体"/>
          <w:color w:val="000000"/>
          <w:kern w:val="44"/>
          <w:sz w:val="28"/>
          <w:szCs w:val="28"/>
          <w:lang w:val="en-US"/>
        </w:rPr>
        <w:t>在抢险救灾工作基本结束、紧急转移和安置工作基本完成、地震次生灾害的后果基本消除，以及交通、电力、通信和供水等基本抢修抢通、灾区生活秩序基本恢复后，由启动应急响应的原机关决定终止应急响应。</w:t>
      </w:r>
    </w:p>
    <w:p>
      <w:pPr>
        <w:pStyle w:val="3"/>
        <w:jc w:val="center"/>
        <w:rPr>
          <w:lang w:val="en-US" w:bidi="ar-SA"/>
        </w:rPr>
      </w:pPr>
      <w:bookmarkStart w:id="49" w:name="_Toc11252"/>
      <w:r>
        <w:rPr>
          <w:lang w:val="en-US"/>
        </w:rPr>
        <w:t xml:space="preserve">6  </w:t>
      </w:r>
      <w:r>
        <w:rPr>
          <w:rFonts w:hint="eastAsia"/>
          <w:lang w:val="en-US" w:bidi="ar-SA"/>
        </w:rPr>
        <w:t>指挥与协调</w:t>
      </w:r>
      <w:bookmarkEnd w:id="49"/>
    </w:p>
    <w:p>
      <w:pPr>
        <w:pStyle w:val="4"/>
        <w:rPr>
          <w:lang w:val="en-US"/>
        </w:rPr>
      </w:pPr>
      <w:bookmarkStart w:id="50" w:name="_Toc30784"/>
      <w:r>
        <w:rPr>
          <w:lang w:val="en-US"/>
        </w:rPr>
        <w:t xml:space="preserve">6.1  </w:t>
      </w:r>
      <w:r>
        <w:rPr>
          <w:rFonts w:hint="eastAsia"/>
          <w:lang w:val="en-US"/>
        </w:rPr>
        <w:t>特别重大地震灾害</w:t>
      </w:r>
      <w:bookmarkEnd w:id="50"/>
    </w:p>
    <w:p>
      <w:pPr>
        <w:ind w:firstLine="31680"/>
      </w:pPr>
      <w:r>
        <w:t>1</w:t>
      </w:r>
      <w:r>
        <w:rPr>
          <w:rFonts w:hint="eastAsia"/>
        </w:rPr>
        <w:t>、先期保障</w:t>
      </w:r>
    </w:p>
    <w:p>
      <w:pPr>
        <w:ind w:firstLine="31680"/>
      </w:pPr>
      <w:r>
        <w:rPr>
          <w:rFonts w:hint="eastAsia"/>
        </w:rPr>
        <w:t>特别重大地震灾害发生后，镇人民政府立即向旗人民政府、巴林左旗应急管理局报告震情和灾情初步判断意见，并根据地震灾害事件的初判指标提出启动应急响应级别的建议，同时将震情信息通报镇抗震救灾指挥部成员单位和有关部门。镇抗震救灾指挥部各成员单位接到震情信息后，迅速按各自应急预案规定，启动应急响应，开展先期处置，并及时向镇人民政府和镇抗震救灾指挥部报告先期处置情况。</w:t>
      </w:r>
    </w:p>
    <w:p>
      <w:pPr>
        <w:ind w:firstLine="31680"/>
      </w:pPr>
      <w:r>
        <w:t>1</w:t>
      </w:r>
      <w:r>
        <w:rPr>
          <w:rFonts w:hint="eastAsia"/>
        </w:rPr>
        <w:t>）镇人民政府取必要的交通措施，提供一切便利条件，优先保证抗震救灾队伍和物资快速到达灾区，保障抗震救灾工作需要。</w:t>
      </w:r>
    </w:p>
    <w:p>
      <w:pPr>
        <w:ind w:firstLine="31680"/>
      </w:pPr>
      <w:r>
        <w:t>2</w:t>
      </w:r>
      <w:r>
        <w:rPr>
          <w:rFonts w:hint="eastAsia"/>
        </w:rPr>
        <w:t>）联通浩尔吐营业所，移动、电信业务承担者等部门按照有关通信保障应急预案及时采取应对措施，抢修受损通信设施，协调应急通信资源，优先保障抗震救灾指挥通信联络和信息传递畅通。自有通信系统的部门尽快恢复本部门受到损坏的通信设施，协助保障应急救援指挥通信畅通。</w:t>
      </w:r>
    </w:p>
    <w:p>
      <w:pPr>
        <w:ind w:firstLine="31680"/>
      </w:pPr>
      <w:r>
        <w:t>2</w:t>
      </w:r>
      <w:r>
        <w:rPr>
          <w:rFonts w:hint="eastAsia"/>
        </w:rPr>
        <w:t>、镇人民政府应急处置</w:t>
      </w:r>
    </w:p>
    <w:p>
      <w:pPr>
        <w:ind w:firstLine="31680"/>
      </w:pPr>
      <w:r>
        <w:rPr>
          <w:rFonts w:hint="eastAsia"/>
        </w:rPr>
        <w:t>镇人民政府立即向巴林左旗人民政府报告震情信息，及时将灾情初步判断意见和启动</w:t>
      </w:r>
      <w:r>
        <w:t>I</w:t>
      </w:r>
      <w:r>
        <w:rPr>
          <w:rFonts w:hint="eastAsia"/>
        </w:rPr>
        <w:t>级应急响应情况上报巴林左旗人民政府及自，根据需要设立综合协调组、地震监测及趋势研判组、抢险救援组、基础设施保障组、医疗救治和卫生防疫组、社会治安组、群众生活保障组、灾害监测防治组、宣传报道组、涉外工作组、恢复重建组等工作组，并指定各工作组负责人。组织开展相关应急处置工作，具体如下：</w:t>
      </w:r>
    </w:p>
    <w:p>
      <w:pPr>
        <w:ind w:firstLine="31680"/>
      </w:pPr>
      <w:r>
        <w:t>1</w:t>
      </w:r>
      <w:r>
        <w:rPr>
          <w:rFonts w:hint="eastAsia"/>
        </w:rPr>
        <w:t>）派遣镇消防灭火排、矿山和危险化学品救护队、医疗卫生救援队伍等各类专业抢险救援队伍，协调各应急救援队伍赶赴灾区抢救被压埋幸存者和被困群众。</w:t>
      </w:r>
    </w:p>
    <w:p>
      <w:pPr>
        <w:ind w:firstLine="31680"/>
      </w:pPr>
      <w:r>
        <w:t>2</w:t>
      </w:r>
      <w:r>
        <w:rPr>
          <w:rFonts w:hint="eastAsia"/>
        </w:rPr>
        <w:t>）组织向灾区调运救灾帐篷、生活必需品等救灾物资和装备，支援灾区保障受灾群众的吃、穿、住等基本生活需要。</w:t>
      </w:r>
    </w:p>
    <w:p>
      <w:pPr>
        <w:ind w:firstLine="31680"/>
      </w:pPr>
      <w:r>
        <w:t>3</w:t>
      </w:r>
      <w:r>
        <w:rPr>
          <w:rFonts w:hint="eastAsia"/>
        </w:rPr>
        <w:t>）支援灾区开展伤病员和受灾群众医疗救治、卫生防疫、心理援助工作，根据需要组织实施跨地区大范围转移救治伤员，恢复灾区医疗卫生服务能力和秩序。</w:t>
      </w:r>
    </w:p>
    <w:p>
      <w:pPr>
        <w:ind w:firstLine="31680"/>
      </w:pPr>
      <w:r>
        <w:t>4</w:t>
      </w:r>
      <w:r>
        <w:rPr>
          <w:rFonts w:hint="eastAsia"/>
        </w:rPr>
        <w:t>）组织抢修通信、电力、交通等基础设施，保障抢险救援通信、电力以及救灾人员和物资交通运输的畅通。</w:t>
      </w:r>
    </w:p>
    <w:p>
      <w:pPr>
        <w:ind w:firstLine="31680"/>
      </w:pPr>
      <w:r>
        <w:t>5</w:t>
      </w:r>
      <w:r>
        <w:rPr>
          <w:rFonts w:hint="eastAsia"/>
        </w:rPr>
        <w:t>）指导开展重大危险源、重要目标物、重大关键基础设施隐患排查与监测预警，防范次生衍生灾害。对于已经产生破坏的，要组织快速抢险救援。</w:t>
      </w:r>
    </w:p>
    <w:p>
      <w:pPr>
        <w:ind w:firstLine="31680"/>
      </w:pPr>
      <w:r>
        <w:t>6</w:t>
      </w:r>
      <w:r>
        <w:rPr>
          <w:rFonts w:hint="eastAsia"/>
        </w:rPr>
        <w:t>）派出地震现场监测与震情趋势判断队伍，布设或恢复地震现场测震和前兆台站，密切监视震情发展，指导做好余震防范工作。</w:t>
      </w:r>
    </w:p>
    <w:p>
      <w:pPr>
        <w:ind w:firstLine="31680"/>
      </w:pPr>
      <w:r>
        <w:t>7</w:t>
      </w:r>
      <w:r>
        <w:rPr>
          <w:rFonts w:hint="eastAsia"/>
        </w:rPr>
        <w:t>）派出现场工作队伍，参与地震烈度调查、灾害损失评估和科学考察工作，调查地震宏观异常现象、工程结构震害特征、地震社会影响等。</w:t>
      </w:r>
    </w:p>
    <w:p>
      <w:pPr>
        <w:ind w:firstLine="31680"/>
      </w:pPr>
      <w:r>
        <w:t>8</w:t>
      </w:r>
      <w:r>
        <w:rPr>
          <w:rFonts w:hint="eastAsia"/>
        </w:rPr>
        <w:t>）协调加强重要目标警戒和治安管理，预防和打击各种违法犯罪活动，指导做好涉灾矛盾纠纷化解、法律服务和法律援助工作，维护社会稳定。</w:t>
      </w:r>
    </w:p>
    <w:p>
      <w:pPr>
        <w:ind w:firstLine="31680"/>
      </w:pPr>
      <w:r>
        <w:t>9</w:t>
      </w:r>
      <w:r>
        <w:rPr>
          <w:rFonts w:hint="eastAsia"/>
        </w:rPr>
        <w:t>）组织有关部门和单位、非灾区人民政府以及企事业单位、志愿者等社会力量对灾区进行紧急支援。</w:t>
      </w:r>
    </w:p>
    <w:p>
      <w:pPr>
        <w:ind w:firstLine="31680"/>
      </w:pPr>
      <w:r>
        <w:t>10</w:t>
      </w:r>
      <w:r>
        <w:rPr>
          <w:rFonts w:hint="eastAsia"/>
        </w:rPr>
        <w:t>）视情实施限制前往或途经灾区旅游、跨镇镇区和干线交通管制等特别管制措施。</w:t>
      </w:r>
    </w:p>
    <w:p>
      <w:pPr>
        <w:ind w:firstLine="31680"/>
      </w:pPr>
      <w:r>
        <w:t>11</w:t>
      </w:r>
      <w:r>
        <w:rPr>
          <w:rFonts w:hint="eastAsia"/>
        </w:rPr>
        <w:t>）组织统一发布灾情和抗震救灾信息，指导做好抗震救灾宣传报道工作，正确引导舆论。</w:t>
      </w:r>
    </w:p>
    <w:p>
      <w:pPr>
        <w:ind w:firstLine="31680"/>
      </w:pPr>
      <w:r>
        <w:t>12</w:t>
      </w:r>
      <w:r>
        <w:rPr>
          <w:rFonts w:hint="eastAsia"/>
        </w:rPr>
        <w:t>）其他重要事项。</w:t>
      </w:r>
    </w:p>
    <w:p>
      <w:pPr>
        <w:ind w:firstLine="31680"/>
      </w:pPr>
      <w:r>
        <w:rPr>
          <w:rFonts w:hint="eastAsia"/>
        </w:rPr>
        <w:t>必要时，镇抗震救灾指挥部在地震灾区设立现场指挥部，负责开展以下工作：</w:t>
      </w:r>
    </w:p>
    <w:p>
      <w:pPr>
        <w:ind w:firstLine="31680"/>
      </w:pPr>
      <w:r>
        <w:rPr>
          <w:rFonts w:hint="eastAsia"/>
        </w:rPr>
        <w:t>（</w:t>
      </w:r>
      <w:r>
        <w:t>1</w:t>
      </w:r>
      <w:r>
        <w:rPr>
          <w:rFonts w:hint="eastAsia"/>
        </w:rPr>
        <w:t>）了解灾区抗震救灾工作进展和灾区需求情况，督促落实巴林左旗抗震救灾指挥部工作安排部署。</w:t>
      </w:r>
    </w:p>
    <w:p>
      <w:pPr>
        <w:ind w:firstLine="31680"/>
      </w:pPr>
      <w:r>
        <w:rPr>
          <w:rFonts w:hint="eastAsia"/>
        </w:rPr>
        <w:t>（</w:t>
      </w:r>
      <w:r>
        <w:t>2</w:t>
      </w:r>
      <w:r>
        <w:rPr>
          <w:rFonts w:hint="eastAsia"/>
        </w:rPr>
        <w:t>）根据灾区人民政府请求，协调有关部门和地方调集应急物资、装备。</w:t>
      </w:r>
    </w:p>
    <w:p>
      <w:pPr>
        <w:ind w:firstLine="31680"/>
      </w:pPr>
      <w:r>
        <w:rPr>
          <w:rFonts w:hint="eastAsia"/>
        </w:rPr>
        <w:t>（</w:t>
      </w:r>
      <w:r>
        <w:t>3</w:t>
      </w:r>
      <w:r>
        <w:rPr>
          <w:rFonts w:hint="eastAsia"/>
        </w:rPr>
        <w:t>）协调指导全旗有关专业抢险救援队伍以及各方面支援力量参与抗震救灾行动。</w:t>
      </w:r>
    </w:p>
    <w:p>
      <w:pPr>
        <w:ind w:firstLine="31680"/>
      </w:pPr>
      <w:r>
        <w:rPr>
          <w:rFonts w:hint="eastAsia"/>
        </w:rPr>
        <w:t>（</w:t>
      </w:r>
      <w:r>
        <w:t>4</w:t>
      </w:r>
      <w:r>
        <w:rPr>
          <w:rFonts w:hint="eastAsia"/>
        </w:rPr>
        <w:t>）协调公安、交通运输、铁路、民航等部门和地方提供交通运输保障。</w:t>
      </w:r>
    </w:p>
    <w:p>
      <w:pPr>
        <w:ind w:firstLine="31680"/>
      </w:pPr>
      <w:r>
        <w:rPr>
          <w:rFonts w:hint="eastAsia"/>
        </w:rPr>
        <w:t>（</w:t>
      </w:r>
      <w:r>
        <w:t>5</w:t>
      </w:r>
      <w:r>
        <w:rPr>
          <w:rFonts w:hint="eastAsia"/>
        </w:rPr>
        <w:t>）协调安排灾区伤病群众转移治疗。</w:t>
      </w:r>
    </w:p>
    <w:p>
      <w:pPr>
        <w:ind w:firstLine="31680"/>
      </w:pPr>
      <w:r>
        <w:rPr>
          <w:rFonts w:hint="eastAsia"/>
        </w:rPr>
        <w:t>（</w:t>
      </w:r>
      <w:r>
        <w:t>6</w:t>
      </w:r>
      <w:r>
        <w:rPr>
          <w:rFonts w:hint="eastAsia"/>
        </w:rPr>
        <w:t>）协调相关部门支持协助灾区人民政府处置重大次生衍生灾害。</w:t>
      </w:r>
    </w:p>
    <w:p>
      <w:pPr>
        <w:ind w:firstLine="31680"/>
      </w:pPr>
      <w:r>
        <w:t>3</w:t>
      </w:r>
      <w:r>
        <w:rPr>
          <w:rFonts w:hint="eastAsia"/>
        </w:rPr>
        <w:t>、行政村应急处置</w:t>
      </w:r>
    </w:p>
    <w:p>
      <w:pPr>
        <w:ind w:firstLine="31680"/>
      </w:pPr>
      <w:r>
        <w:rPr>
          <w:rFonts w:hint="eastAsia"/>
        </w:rPr>
        <w:t>行政村防震救灾指挥机构立即发动基层干部群众开展自救互救和灾情调查，组织开展人员搜救和医疗救护，防范次生灾害，维护社会治安；开放应急避难场所，设立安置点，发放生活用品，保障受灾群众基本生活。</w:t>
      </w:r>
    </w:p>
    <w:p>
      <w:pPr>
        <w:pStyle w:val="4"/>
        <w:rPr>
          <w:lang w:val="en-US"/>
        </w:rPr>
      </w:pPr>
      <w:bookmarkStart w:id="51" w:name="_Toc3345"/>
      <w:r>
        <w:rPr>
          <w:lang w:val="en-US"/>
        </w:rPr>
        <w:t xml:space="preserve">6.2 </w:t>
      </w:r>
      <w:r>
        <w:rPr>
          <w:rFonts w:hint="eastAsia"/>
          <w:lang w:val="en-US"/>
        </w:rPr>
        <w:t>重大地震灾害</w:t>
      </w:r>
      <w:bookmarkEnd w:id="51"/>
    </w:p>
    <w:p>
      <w:pPr>
        <w:ind w:firstLine="31680"/>
      </w:pPr>
      <w:r>
        <w:t>1</w:t>
      </w:r>
      <w:r>
        <w:rPr>
          <w:rFonts w:hint="eastAsia"/>
        </w:rPr>
        <w:t>、镇人民政府应急处置</w:t>
      </w:r>
    </w:p>
    <w:p>
      <w:pPr>
        <w:ind w:firstLine="31680"/>
      </w:pPr>
      <w:r>
        <w:rPr>
          <w:rFonts w:hint="eastAsia"/>
        </w:rPr>
        <w:t>镇人民政府立即向巴林左旗人民政府及巴林左旗应急管理局、自治区应急管理厅报告震情和灾情初步判断意见，并根据地震灾害事件的初判意见提出启动应急响应级别的建议。镇抗震救灾指挥部根据需要设立综合协调组、地震监测及趋势研判组、抢险救援组、基础设施保障组、医疗救治和卫生防疫组、社会治安组、群众生活保障组、宣传报道组、涉外工作组、恢复重建组等工作组，组织开展相关应急处置工作。具体如下：</w:t>
      </w:r>
    </w:p>
    <w:p>
      <w:pPr>
        <w:ind w:firstLine="31680"/>
      </w:pPr>
      <w:r>
        <w:t>1</w:t>
      </w:r>
      <w:r>
        <w:rPr>
          <w:rFonts w:hint="eastAsia"/>
        </w:rPr>
        <w:t>）派遣镇综合应急救援队伍、矿山和危险化学品救护队、医疗卫生救援队伍等专业抢险救援队伍，赶赴灾区抢救被压埋幸存者和被困群众，转移救治伤病员，开展卫生防疫等。必要时，协调巴林左旗人民武装部和消防救援大队巴林左旗支队组织应急救援队伍参与应急救援。</w:t>
      </w:r>
    </w:p>
    <w:p>
      <w:pPr>
        <w:ind w:firstLine="31680"/>
      </w:pPr>
      <w:r>
        <w:t>2</w:t>
      </w:r>
      <w:r>
        <w:rPr>
          <w:rFonts w:hint="eastAsia"/>
        </w:rPr>
        <w:t>）组织向灾区调运救灾帐篷、生活必需品等抗震救灾物资。</w:t>
      </w:r>
    </w:p>
    <w:p>
      <w:pPr>
        <w:ind w:firstLine="31680"/>
      </w:pPr>
      <w:r>
        <w:t>3</w:t>
      </w:r>
      <w:r>
        <w:rPr>
          <w:rFonts w:hint="eastAsia"/>
        </w:rPr>
        <w:t>）指导、协助抢修通信、广播电视、电力、交通等基础设施。</w:t>
      </w:r>
    </w:p>
    <w:p>
      <w:pPr>
        <w:ind w:firstLine="31680"/>
      </w:pPr>
      <w:r>
        <w:t>4</w:t>
      </w:r>
      <w:r>
        <w:rPr>
          <w:rFonts w:hint="eastAsia"/>
        </w:rPr>
        <w:t>）根据需要派出震情监测与趋势判断、次生灾害防范、群众生活、医疗救治和卫生防疫、基础设施恢复等工作组，赴灾区协助、指导开展抗震救灾工作。</w:t>
      </w:r>
    </w:p>
    <w:p>
      <w:pPr>
        <w:ind w:firstLine="31680"/>
      </w:pPr>
      <w:r>
        <w:t>5</w:t>
      </w:r>
      <w:r>
        <w:rPr>
          <w:rFonts w:hint="eastAsia"/>
        </w:rPr>
        <w:t>）协调非灾区人民政府对灾区进行紧急支援。</w:t>
      </w:r>
    </w:p>
    <w:p>
      <w:pPr>
        <w:ind w:firstLine="31680"/>
      </w:pPr>
      <w:r>
        <w:t>6</w:t>
      </w:r>
      <w:r>
        <w:rPr>
          <w:rFonts w:hint="eastAsia"/>
        </w:rPr>
        <w:t>）需要镇抗震救灾指挥部协调解决的其他事项。</w:t>
      </w:r>
    </w:p>
    <w:p>
      <w:pPr>
        <w:ind w:firstLine="31680"/>
      </w:pPr>
      <w:r>
        <w:t>2</w:t>
      </w:r>
      <w:r>
        <w:rPr>
          <w:rFonts w:hint="eastAsia"/>
        </w:rPr>
        <w:t>、行政村应急处置</w:t>
      </w:r>
    </w:p>
    <w:p>
      <w:pPr>
        <w:ind w:firstLine="31680"/>
      </w:pPr>
      <w:r>
        <w:rPr>
          <w:rFonts w:hint="eastAsia"/>
        </w:rPr>
        <w:t>乡镇防震救灾指挥机构立即发动基层干部群众开展自救互救和灾情调查，组织开展人员搜救和医疗救护，防范次生灾害，维护社会治安；开放应急避难场所，设立安置点，发放生活用品，保障受灾群众基本生活。</w:t>
      </w:r>
    </w:p>
    <w:p>
      <w:pPr>
        <w:pStyle w:val="4"/>
        <w:rPr>
          <w:lang w:val="en-US"/>
        </w:rPr>
      </w:pPr>
      <w:bookmarkStart w:id="52" w:name="_Toc7987"/>
      <w:r>
        <w:rPr>
          <w:lang w:val="en-US"/>
        </w:rPr>
        <w:t xml:space="preserve">6.3 </w:t>
      </w:r>
      <w:r>
        <w:rPr>
          <w:rFonts w:hint="eastAsia"/>
          <w:lang w:val="en-US"/>
        </w:rPr>
        <w:t>较大、一般地震灾害</w:t>
      </w:r>
      <w:bookmarkEnd w:id="52"/>
    </w:p>
    <w:p>
      <w:pPr>
        <w:ind w:firstLine="31680"/>
      </w:pPr>
      <w:r>
        <w:rPr>
          <w:rFonts w:hint="eastAsia"/>
        </w:rPr>
        <w:t>镇抗震救灾指挥部组织各类专业抢险救灾队伍开展人员搜救、医疗救护、灾民安置、次生灾害防范和应急恢复等工作。镇抗震救灾指挥部根据应对工作实际需要或灾区抗震救灾指挥部请求，协调派遣专业技术力量和救援队伍，组织调运抗震救灾物资装备，指导灾区所在地开展抗震救灾各项工作。</w:t>
      </w:r>
    </w:p>
    <w:p>
      <w:pPr>
        <w:ind w:firstLine="31680"/>
      </w:pPr>
      <w:r>
        <w:rPr>
          <w:rFonts w:hint="eastAsia"/>
        </w:rPr>
        <w:t>根据灾区需求，镇人民政府做好地震监测、趋势判定、房屋安全性鉴定和灾害损失调查评估，以及支援物资调运、灾民安置和社会稳定等工作。</w:t>
      </w:r>
    </w:p>
    <w:p>
      <w:pPr>
        <w:pStyle w:val="3"/>
        <w:rPr>
          <w:lang w:val="en-US" w:bidi="ar-SA"/>
        </w:rPr>
      </w:pPr>
      <w:bookmarkStart w:id="53" w:name="_Toc32253"/>
      <w:r>
        <w:rPr>
          <w:lang w:val="en-US"/>
        </w:rPr>
        <w:t xml:space="preserve">7  </w:t>
      </w:r>
      <w:r>
        <w:rPr>
          <w:rFonts w:hint="eastAsia"/>
          <w:lang w:val="en-US" w:bidi="ar-SA"/>
        </w:rPr>
        <w:t>恢复重建</w:t>
      </w:r>
      <w:bookmarkEnd w:id="53"/>
    </w:p>
    <w:p>
      <w:pPr>
        <w:ind w:firstLine="31680"/>
      </w:pPr>
      <w:bookmarkStart w:id="54" w:name="BM6_3_水毁工程修复"/>
      <w:bookmarkEnd w:id="54"/>
      <w:bookmarkStart w:id="55" w:name="_bookmark29"/>
      <w:bookmarkEnd w:id="55"/>
      <w:bookmarkStart w:id="56" w:name="_bookmark28"/>
      <w:bookmarkEnd w:id="56"/>
      <w:bookmarkStart w:id="57" w:name="BM6_2_防汛抢险物料补充"/>
      <w:bookmarkEnd w:id="57"/>
      <w:bookmarkStart w:id="58" w:name="_Toc22143"/>
      <w:r>
        <w:rPr>
          <w:rFonts w:hint="eastAsia"/>
        </w:rPr>
        <w:t>各行政村、有关站所办应尽快组织相关设施的灾后重建工作。灾后重建原则上按原标准恢复，在条件允许情况下，可提高重建标准。</w:t>
      </w:r>
    </w:p>
    <w:p>
      <w:pPr>
        <w:pStyle w:val="3"/>
        <w:jc w:val="center"/>
        <w:rPr>
          <w:lang w:val="en-US" w:bidi="ar-SA"/>
        </w:rPr>
      </w:pPr>
      <w:bookmarkStart w:id="59" w:name="_Toc19774"/>
      <w:r>
        <w:rPr>
          <w:lang w:val="en-US"/>
        </w:rPr>
        <w:t xml:space="preserve">8  </w:t>
      </w:r>
      <w:r>
        <w:rPr>
          <w:rFonts w:hint="eastAsia"/>
          <w:lang w:val="en-US" w:bidi="ar-SA"/>
        </w:rPr>
        <w:t>应急保障</w:t>
      </w:r>
      <w:bookmarkEnd w:id="58"/>
      <w:bookmarkEnd w:id="59"/>
    </w:p>
    <w:p>
      <w:pPr>
        <w:pStyle w:val="4"/>
        <w:rPr>
          <w:lang w:val="en-US"/>
        </w:rPr>
      </w:pPr>
      <w:bookmarkStart w:id="60" w:name="BM5_1通信与信息保障"/>
      <w:bookmarkEnd w:id="60"/>
      <w:bookmarkStart w:id="61" w:name="_bookmark23"/>
      <w:bookmarkEnd w:id="61"/>
      <w:bookmarkStart w:id="62" w:name="_Toc23315"/>
      <w:bookmarkStart w:id="63" w:name="_Toc11571"/>
      <w:r>
        <w:rPr>
          <w:lang w:val="en-US"/>
        </w:rPr>
        <w:t xml:space="preserve">8.1 </w:t>
      </w:r>
      <w:r>
        <w:rPr>
          <w:rFonts w:hint="eastAsia"/>
          <w:lang w:val="en-US"/>
        </w:rPr>
        <w:t>组织保障体系</w:t>
      </w:r>
      <w:bookmarkEnd w:id="62"/>
    </w:p>
    <w:p>
      <w:pPr>
        <w:ind w:firstLine="31680"/>
      </w:pPr>
      <w:r>
        <w:rPr>
          <w:rFonts w:hint="eastAsia"/>
        </w:rPr>
        <w:t>行政村应当建立和完善抗震救灾指挥机构，建立完善地震应急工作部门和地震应急指挥机构，落实指挥场所，配备相应的应急指挥通信系统和应急指挥技术系统，明确职责分工，建立健全地震应急指挥协调机制。</w:t>
      </w:r>
    </w:p>
    <w:p>
      <w:pPr>
        <w:pStyle w:val="4"/>
        <w:rPr>
          <w:lang w:val="en-US"/>
        </w:rPr>
      </w:pPr>
      <w:bookmarkStart w:id="64" w:name="_Toc17271"/>
      <w:r>
        <w:rPr>
          <w:lang w:val="en-US"/>
        </w:rPr>
        <w:t xml:space="preserve">8.2 </w:t>
      </w:r>
      <w:r>
        <w:rPr>
          <w:rFonts w:hint="eastAsia"/>
          <w:lang w:val="en-US"/>
        </w:rPr>
        <w:t>预案保障体系</w:t>
      </w:r>
      <w:bookmarkEnd w:id="64"/>
    </w:p>
    <w:p>
      <w:pPr>
        <w:ind w:firstLine="31680"/>
      </w:pPr>
      <w:r>
        <w:t>1</w:t>
      </w:r>
      <w:r>
        <w:rPr>
          <w:rFonts w:hint="eastAsia"/>
        </w:rPr>
        <w:t>、地震应急预案体系</w:t>
      </w:r>
    </w:p>
    <w:p>
      <w:pPr>
        <w:ind w:firstLine="31680"/>
      </w:pPr>
      <w:r>
        <w:rPr>
          <w:rFonts w:hint="eastAsia"/>
        </w:rPr>
        <w:t>行政村及有站所办，制定本行政区域或本部门地震应急预案；交通、水利、电力、通信等基础设施和学校、医院等人员密集场所的经营管理单位，以及可能发生次生灾害的矿山、危险物品等生产经营单位也应当制定地震应急预案。每年组织</w:t>
      </w:r>
      <w:r>
        <w:t>1</w:t>
      </w:r>
      <w:r>
        <w:rPr>
          <w:rFonts w:hint="eastAsia"/>
        </w:rPr>
        <w:t>次综合性地震应急演练。</w:t>
      </w:r>
    </w:p>
    <w:p>
      <w:pPr>
        <w:ind w:firstLine="31680"/>
      </w:pPr>
      <w:r>
        <w:t>2</w:t>
      </w:r>
      <w:r>
        <w:rPr>
          <w:rFonts w:hint="eastAsia"/>
        </w:rPr>
        <w:t>、信息发布制度</w:t>
      </w:r>
    </w:p>
    <w:p>
      <w:pPr>
        <w:ind w:firstLine="31680"/>
      </w:pPr>
      <w:r>
        <w:rPr>
          <w:rFonts w:hint="eastAsia"/>
        </w:rPr>
        <w:t>镇人民政府应建立灾害应对信息发布制度，适时向社会发布抗震救灾信息。</w:t>
      </w:r>
    </w:p>
    <w:p>
      <w:pPr>
        <w:ind w:firstLine="31680"/>
      </w:pPr>
      <w:r>
        <w:t>3</w:t>
      </w:r>
      <w:r>
        <w:rPr>
          <w:rFonts w:hint="eastAsia"/>
        </w:rPr>
        <w:t>、地震应急科普宣传制度</w:t>
      </w:r>
    </w:p>
    <w:p>
      <w:pPr>
        <w:ind w:firstLine="31680"/>
      </w:pPr>
      <w:r>
        <w:t>4</w:t>
      </w:r>
      <w:r>
        <w:rPr>
          <w:rFonts w:hint="eastAsia"/>
        </w:rPr>
        <w:t>、各级防震减灾部门和基层组织应将地震应急科普宣传制度化、常态化，积极组织开展地震应急知识宣传普及活动和地震应急救援演练，提高公众逃生避险和自救互救能力。学校、卫生院、行政村要把地震应急、避险、自救、互救等知识纳入教学宣传内容，进行地震安全教育，组织地震应急避险和救助演练，提高全民地震安全意识。</w:t>
      </w:r>
    </w:p>
    <w:p>
      <w:pPr>
        <w:ind w:firstLine="31680"/>
      </w:pPr>
      <w:r>
        <w:t>5</w:t>
      </w:r>
      <w:r>
        <w:rPr>
          <w:rFonts w:hint="eastAsia"/>
        </w:rPr>
        <w:t>、应急监督检查制度</w:t>
      </w:r>
    </w:p>
    <w:p>
      <w:pPr>
        <w:ind w:firstLine="31680"/>
      </w:pPr>
      <w:r>
        <w:rPr>
          <w:rFonts w:hint="eastAsia"/>
        </w:rPr>
        <w:t>镇平安建设办公室根据相关法律法规组织开展地震应急工作检查。</w:t>
      </w:r>
    </w:p>
    <w:p>
      <w:pPr>
        <w:pStyle w:val="4"/>
        <w:rPr>
          <w:lang w:val="en-US"/>
        </w:rPr>
      </w:pPr>
      <w:bookmarkStart w:id="65" w:name="_Toc1680"/>
      <w:r>
        <w:rPr>
          <w:lang w:val="en-US"/>
        </w:rPr>
        <w:t xml:space="preserve">8.3 </w:t>
      </w:r>
      <w:r>
        <w:rPr>
          <w:rFonts w:hint="eastAsia"/>
          <w:lang w:val="en-US"/>
        </w:rPr>
        <w:t>技术保障体系</w:t>
      </w:r>
      <w:bookmarkEnd w:id="65"/>
    </w:p>
    <w:p>
      <w:pPr>
        <w:ind w:firstLine="31680"/>
      </w:pPr>
      <w:r>
        <w:rPr>
          <w:rFonts w:hint="eastAsia"/>
        </w:rPr>
        <w:t>镇人民政府应建立全面反映本地实际的地震应急基础数据库，并实施动态管理。健全信息收集、传送、入库渠道，完善灾情信息处理措施，建立健全上下互通、资源共享，能够辅助应急指挥决策的地震应急指挥技术平台。</w:t>
      </w:r>
    </w:p>
    <w:p>
      <w:pPr>
        <w:pStyle w:val="4"/>
        <w:rPr>
          <w:lang w:val="en-US"/>
        </w:rPr>
      </w:pPr>
      <w:bookmarkStart w:id="66" w:name="_Toc29350"/>
      <w:r>
        <w:rPr>
          <w:lang w:val="en-US"/>
        </w:rPr>
        <w:t xml:space="preserve">8.4 </w:t>
      </w:r>
      <w:r>
        <w:rPr>
          <w:rFonts w:hint="eastAsia"/>
          <w:lang w:val="en-US"/>
        </w:rPr>
        <w:t>应急队伍保障</w:t>
      </w:r>
      <w:bookmarkEnd w:id="66"/>
    </w:p>
    <w:p>
      <w:pPr>
        <w:ind w:firstLine="31680"/>
      </w:pPr>
      <w:r>
        <w:t>1</w:t>
      </w:r>
      <w:r>
        <w:rPr>
          <w:rFonts w:hint="eastAsia"/>
        </w:rPr>
        <w:t>、抢险救援队伍体系</w:t>
      </w:r>
    </w:p>
    <w:p>
      <w:pPr>
        <w:ind w:firstLine="31680"/>
      </w:pPr>
      <w:r>
        <w:rPr>
          <w:rFonts w:hint="eastAsia"/>
        </w:rPr>
        <w:t>镇人民政府要加强地震灾害专业应急防治与救灾队伍建设，确保灾害发生后应急救援力量及时到位。专业应急救援队伍平时要有针对性地开展应急救援演练，提高应急救援能力。</w:t>
      </w:r>
    </w:p>
    <w:p>
      <w:pPr>
        <w:ind w:firstLine="31680"/>
      </w:pPr>
      <w:r>
        <w:rPr>
          <w:rFonts w:hint="eastAsia"/>
        </w:rPr>
        <w:t>各行政村、各站所办应当加强本部门、本行业抢险救援队伍的能力建设，配置必要的装备，定期开展技能培训，经常性开展抢险救援演练，增强地震应急救援能力。建立完善抢险救援队伍之间的应急联动协作机制，提高政府和社会的综合应急救援能力。</w:t>
      </w:r>
    </w:p>
    <w:p>
      <w:pPr>
        <w:ind w:firstLine="31680"/>
      </w:pPr>
      <w:r>
        <w:t>2</w:t>
      </w:r>
      <w:r>
        <w:rPr>
          <w:rFonts w:hint="eastAsia"/>
        </w:rPr>
        <w:t>、志愿者队伍</w:t>
      </w:r>
    </w:p>
    <w:p>
      <w:pPr>
        <w:ind w:firstLine="31680"/>
      </w:pPr>
      <w:r>
        <w:rPr>
          <w:rFonts w:hint="eastAsia"/>
        </w:rPr>
        <w:t>镇人民政府及其有关站所办、共青团组织和社会基层组织，可以建立地震灾害救援志愿者队伍，并组织开展地震应急救援知识培训和演练，使志愿者掌握必要的地震应急救援技能，增强地震灾害应急救援能力。</w:t>
      </w:r>
    </w:p>
    <w:p>
      <w:pPr>
        <w:pStyle w:val="4"/>
        <w:rPr>
          <w:lang w:val="en-US"/>
        </w:rPr>
      </w:pPr>
      <w:bookmarkStart w:id="67" w:name="_Toc20400"/>
      <w:r>
        <w:rPr>
          <w:lang w:val="en-US"/>
        </w:rPr>
        <w:t xml:space="preserve">8.5 </w:t>
      </w:r>
      <w:r>
        <w:rPr>
          <w:rFonts w:hint="eastAsia"/>
          <w:lang w:val="en-US"/>
        </w:rPr>
        <w:t>通讯通信保障</w:t>
      </w:r>
      <w:bookmarkEnd w:id="67"/>
    </w:p>
    <w:p>
      <w:pPr>
        <w:ind w:firstLine="31680"/>
      </w:pPr>
      <w:r>
        <w:rPr>
          <w:rFonts w:hint="eastAsia"/>
        </w:rPr>
        <w:t>健全应急通讯通信工作体系，完善应急通信保障系统，确保地震应急救援工作的通信畅通。在基础通信网络设施遭到严重损毁且短时间难以修复的极端情况下，确保至少一种以上临时通信手段有效、畅通。</w:t>
      </w:r>
    </w:p>
    <w:p>
      <w:pPr>
        <w:ind w:firstLine="31680"/>
      </w:pPr>
      <w:r>
        <w:rPr>
          <w:rFonts w:hint="eastAsia"/>
        </w:rPr>
        <w:t>完善广播电视传输覆盖网和应急广播电视体系，确保群众能及时准确地获取人民政府发布的权威信息。</w:t>
      </w:r>
    </w:p>
    <w:p>
      <w:pPr>
        <w:ind w:firstLine="31680"/>
      </w:pPr>
      <w:r>
        <w:rPr>
          <w:rFonts w:hint="eastAsia"/>
        </w:rPr>
        <w:t>各电信运营企业应规划并配备一定数量的紧急通讯设备和专用通讯渠道设施，以确保遭受地震破坏的通信线路和设备的快速恢复，确保灾区通信畅通。</w:t>
      </w:r>
    </w:p>
    <w:p>
      <w:pPr>
        <w:ind w:firstLine="31680"/>
      </w:pPr>
      <w:r>
        <w:rPr>
          <w:rFonts w:hint="eastAsia"/>
        </w:rPr>
        <w:t>镇抗震救灾指挥部及指挥部各成员单位负责人通讯联络数据应定期更新。</w:t>
      </w:r>
    </w:p>
    <w:p>
      <w:pPr>
        <w:ind w:firstLine="31680"/>
      </w:pPr>
      <w:r>
        <w:rPr>
          <w:rFonts w:hint="eastAsia"/>
        </w:rPr>
        <w:t>加强地震灾害监测、预报、预警信息系统建设，充分利用现代通信手段，把有线电话、移动手机、无线电台及互联网等有机结合起来，建立覆盖全镇的地震灾害应急防治信息网，实现信息共享，联络畅通及时。</w:t>
      </w:r>
    </w:p>
    <w:p>
      <w:pPr>
        <w:pStyle w:val="4"/>
        <w:rPr>
          <w:lang w:val="en-US"/>
        </w:rPr>
      </w:pPr>
      <w:bookmarkStart w:id="68" w:name="_Toc20576"/>
      <w:r>
        <w:rPr>
          <w:lang w:val="en-US"/>
        </w:rPr>
        <w:t xml:space="preserve">8.6 </w:t>
      </w:r>
      <w:r>
        <w:rPr>
          <w:rFonts w:hint="eastAsia"/>
          <w:lang w:val="en-US"/>
        </w:rPr>
        <w:t>物资与资金保障</w:t>
      </w:r>
      <w:bookmarkEnd w:id="68"/>
    </w:p>
    <w:p>
      <w:pPr>
        <w:ind w:firstLine="31680"/>
      </w:pPr>
      <w:r>
        <w:t>1</w:t>
      </w:r>
      <w:r>
        <w:rPr>
          <w:rFonts w:hint="eastAsia"/>
        </w:rPr>
        <w:t>、物资保障</w:t>
      </w:r>
    </w:p>
    <w:p>
      <w:pPr>
        <w:ind w:firstLine="31680"/>
      </w:pPr>
      <w:r>
        <w:rPr>
          <w:rFonts w:hint="eastAsia"/>
        </w:rPr>
        <w:t>镇人民政府及有关站所办要建立完善救灾物资和装备储备调度网络，新建、改扩建和利用国家物资储备库，与物资生产、储备运输、商品流通的单位和企业建立救灾物资供储协议，做好地震应急处置工作急需物资储备和后勤保障，确保应急所需物资和生活用品的及时供应，并加强对物资储备的监督管理，及时予以补充和更新。</w:t>
      </w:r>
    </w:p>
    <w:p>
      <w:pPr>
        <w:ind w:firstLine="31680"/>
      </w:pPr>
      <w:r>
        <w:t>2</w:t>
      </w:r>
      <w:r>
        <w:rPr>
          <w:rFonts w:hint="eastAsia"/>
        </w:rPr>
        <w:t>、资金保障</w:t>
      </w:r>
    </w:p>
    <w:p>
      <w:pPr>
        <w:ind w:firstLine="31680"/>
      </w:pPr>
      <w:r>
        <w:rPr>
          <w:rFonts w:hint="eastAsia"/>
        </w:rPr>
        <w:t>镇人民政府所需地震灾害的应急准备和救援工作资金，按照规定程序列入镇年度财政预算。对地震灾害影响较大的行业、企事业单位和个人，要及时研究提出相应的补偿或救助政策。要对财政应急保障资金的使用和效果进行监管和评估。</w:t>
      </w:r>
    </w:p>
    <w:p>
      <w:pPr>
        <w:ind w:firstLine="31680"/>
      </w:pPr>
      <w:r>
        <w:rPr>
          <w:rFonts w:hint="eastAsia"/>
        </w:rPr>
        <w:t>鼓励自然人、法人或者其他社会组织按照有关法律、法规的规定进行捐赠和救援。</w:t>
      </w:r>
    </w:p>
    <w:p>
      <w:pPr>
        <w:pStyle w:val="4"/>
        <w:rPr>
          <w:lang w:val="en-US"/>
        </w:rPr>
      </w:pPr>
      <w:bookmarkStart w:id="69" w:name="_Toc21462"/>
      <w:r>
        <w:rPr>
          <w:lang w:val="en-US"/>
        </w:rPr>
        <w:t xml:space="preserve">8.7 </w:t>
      </w:r>
      <w:r>
        <w:rPr>
          <w:rFonts w:hint="eastAsia"/>
          <w:lang w:val="en-US"/>
        </w:rPr>
        <w:t>应急避难场所保障</w:t>
      </w:r>
      <w:bookmarkEnd w:id="69"/>
    </w:p>
    <w:p>
      <w:pPr>
        <w:ind w:firstLine="31680"/>
      </w:pPr>
      <w:r>
        <w:rPr>
          <w:rFonts w:hint="eastAsia"/>
        </w:rPr>
        <w:t>应将应急避难场所建设纳入我镇城乡建设规划，结合广场、绿地等公共设施，建设地震应急避难场所，确定应急疏散通道。学校、卫生院、酒店等人员密集公共场所应标识应急疏散通道，并配备必要的救生避险设施。</w:t>
      </w:r>
    </w:p>
    <w:p>
      <w:pPr>
        <w:pStyle w:val="4"/>
        <w:rPr>
          <w:lang w:val="en-US"/>
        </w:rPr>
      </w:pPr>
      <w:bookmarkStart w:id="70" w:name="_Toc4631"/>
      <w:r>
        <w:rPr>
          <w:lang w:val="en-US"/>
        </w:rPr>
        <w:t xml:space="preserve">8.8 </w:t>
      </w:r>
      <w:r>
        <w:rPr>
          <w:rFonts w:hint="eastAsia"/>
          <w:lang w:val="en-US"/>
        </w:rPr>
        <w:t>交通后勤保障</w:t>
      </w:r>
      <w:bookmarkEnd w:id="70"/>
    </w:p>
    <w:p>
      <w:pPr>
        <w:ind w:firstLine="31680"/>
      </w:pPr>
      <w:r>
        <w:rPr>
          <w:rFonts w:hint="eastAsia"/>
        </w:rPr>
        <w:t>交通运输等部门要保证紧急情况下应急交通工具的优先安排、优先调度、优先放行，确保运输安全畅通，确保抢险救灾物资和人员能够及时、安全送达。开设应急救援“绿色通道”，保证应急救援工作的顺利开展。</w:t>
      </w:r>
    </w:p>
    <w:bookmarkEnd w:id="63"/>
    <w:p>
      <w:pPr>
        <w:pStyle w:val="4"/>
        <w:rPr>
          <w:lang w:val="en-US"/>
        </w:rPr>
      </w:pPr>
      <w:bookmarkStart w:id="71" w:name="_Toc12764"/>
      <w:r>
        <w:rPr>
          <w:lang w:val="en-US"/>
        </w:rPr>
        <w:t xml:space="preserve">8.9 </w:t>
      </w:r>
      <w:r>
        <w:rPr>
          <w:rFonts w:hint="eastAsia"/>
          <w:lang w:val="en-US"/>
        </w:rPr>
        <w:t>基本生活保障</w:t>
      </w:r>
      <w:bookmarkEnd w:id="71"/>
    </w:p>
    <w:p>
      <w:pPr>
        <w:ind w:firstLine="31680"/>
      </w:pPr>
      <w:r>
        <w:rPr>
          <w:rFonts w:hint="eastAsia"/>
        </w:rPr>
        <w:t>镇社会事务办公室要做好受灾群众的基本生活保障工作，确保灾区群众有饭吃、有水喝、有衣穿、有住处、有病能得到及时医治。</w:t>
      </w:r>
    </w:p>
    <w:p>
      <w:pPr>
        <w:pStyle w:val="4"/>
        <w:rPr>
          <w:lang w:val="en-US"/>
        </w:rPr>
      </w:pPr>
      <w:bookmarkStart w:id="72" w:name="_Toc26018"/>
      <w:r>
        <w:rPr>
          <w:lang w:val="en-US"/>
        </w:rPr>
        <w:t xml:space="preserve">8.10 </w:t>
      </w:r>
      <w:r>
        <w:rPr>
          <w:rFonts w:hint="eastAsia"/>
          <w:lang w:val="en-US"/>
        </w:rPr>
        <w:t>医疗卫生保障</w:t>
      </w:r>
      <w:bookmarkEnd w:id="72"/>
    </w:p>
    <w:p>
      <w:pPr>
        <w:ind w:firstLine="31680"/>
        <w:rPr>
          <w:rFonts w:ascii="宋体" w:cs="宋体"/>
          <w:color w:val="000000"/>
        </w:rPr>
      </w:pPr>
      <w:r>
        <w:rPr>
          <w:rFonts w:hint="eastAsia"/>
        </w:rPr>
        <w:t>镇社会事务办公室负责组建医疗卫生应急专业技术队伍，根据需要及时赴现场开展医疗救治、疾病预防控制等卫生应急工作。及时为受灾群众提供药品、器械等卫生和医疗设备。</w:t>
      </w:r>
    </w:p>
    <w:p>
      <w:pPr>
        <w:pStyle w:val="4"/>
        <w:rPr>
          <w:lang w:val="en-US"/>
        </w:rPr>
      </w:pPr>
      <w:bookmarkStart w:id="73" w:name="_Toc26879"/>
      <w:r>
        <w:rPr>
          <w:lang w:val="en-US"/>
        </w:rPr>
        <w:t xml:space="preserve">8.11 </w:t>
      </w:r>
      <w:r>
        <w:rPr>
          <w:rFonts w:hint="eastAsia"/>
          <w:lang w:val="en-US"/>
        </w:rPr>
        <w:t>治安维护</w:t>
      </w:r>
      <w:bookmarkEnd w:id="73"/>
    </w:p>
    <w:p>
      <w:pPr>
        <w:ind w:firstLine="31680"/>
      </w:pPr>
      <w:r>
        <w:rPr>
          <w:rFonts w:hint="eastAsia"/>
        </w:rPr>
        <w:t>镇派出所按照有关规定要加强对重点受灾区、重点场所、重点人群、重要物资和设备的安全保护，严厉打击违法犯罪活动。必要时，依法采取有效管制措施，控制事态，维护社会秩序。确保在紧急情况下公众安全、有序地转移或疏散，确保人员的安全。</w:t>
      </w:r>
    </w:p>
    <w:p>
      <w:pPr>
        <w:pStyle w:val="4"/>
        <w:rPr>
          <w:lang w:val="en-US"/>
        </w:rPr>
      </w:pPr>
      <w:bookmarkStart w:id="74" w:name="_Toc15112"/>
      <w:r>
        <w:rPr>
          <w:lang w:val="en-US"/>
        </w:rPr>
        <w:t xml:space="preserve">8.12 </w:t>
      </w:r>
      <w:r>
        <w:rPr>
          <w:rFonts w:hint="eastAsia"/>
          <w:lang w:val="en-US"/>
        </w:rPr>
        <w:t>公众设施</w:t>
      </w:r>
      <w:bookmarkEnd w:id="74"/>
    </w:p>
    <w:p>
      <w:pPr>
        <w:ind w:firstLine="31680"/>
        <w:rPr>
          <w:rFonts w:ascii="宋体" w:cs="宋体"/>
          <w:color w:val="000000"/>
        </w:rPr>
      </w:pPr>
      <w:r>
        <w:rPr>
          <w:rFonts w:hint="eastAsia"/>
        </w:rPr>
        <w:t>镇人民政府有关部门按照职责分工，分别负责煤、电、油、水的供给，以及废水、废气、固体废弃物等有害物资的监测和处理。</w:t>
      </w:r>
    </w:p>
    <w:p>
      <w:pPr>
        <w:pStyle w:val="4"/>
        <w:rPr>
          <w:lang w:val="en-US"/>
        </w:rPr>
      </w:pPr>
      <w:bookmarkStart w:id="75" w:name="_bookmark26"/>
      <w:bookmarkEnd w:id="75"/>
      <w:bookmarkStart w:id="76" w:name="BM5_4宣传、培训和演练"/>
      <w:bookmarkEnd w:id="76"/>
      <w:bookmarkStart w:id="77" w:name="_Toc4493"/>
      <w:r>
        <w:rPr>
          <w:lang w:val="en-US"/>
        </w:rPr>
        <w:t xml:space="preserve">8.13 </w:t>
      </w:r>
      <w:r>
        <w:rPr>
          <w:rFonts w:hint="eastAsia"/>
          <w:lang w:val="en-US"/>
        </w:rPr>
        <w:t>宣传、培训保障</w:t>
      </w:r>
      <w:bookmarkEnd w:id="77"/>
    </w:p>
    <w:p>
      <w:pPr>
        <w:ind w:firstLine="31680"/>
      </w:pPr>
      <w:bookmarkStart w:id="78" w:name="_5_4_1公众信息交流"/>
      <w:bookmarkEnd w:id="78"/>
      <w:r>
        <w:t>1</w:t>
      </w:r>
      <w:r>
        <w:rPr>
          <w:rFonts w:hint="eastAsia"/>
        </w:rPr>
        <w:t>、宣传</w:t>
      </w:r>
    </w:p>
    <w:p>
      <w:pPr>
        <w:ind w:firstLine="31680"/>
      </w:pPr>
      <w:r>
        <w:rPr>
          <w:rFonts w:hint="eastAsia"/>
        </w:rPr>
        <w:t>地震灾害事件发生后，镇基层党的建设办公室应立即组织采取多种手段，及时公告震情、灾情和抗震救灾工作进展，宣传灾区人民生产自救、重建家园的自强精神，加强舆情收集处置，正面引导舆论，营造良好的救灾氛围，促进地震应急工作顺利进行。</w:t>
      </w:r>
    </w:p>
    <w:p>
      <w:pPr>
        <w:ind w:firstLine="31680"/>
      </w:pPr>
      <w:r>
        <w:rPr>
          <w:rFonts w:hint="eastAsia"/>
        </w:rPr>
        <w:t>灾区所在行政村积极开展地震应急知识宣传普及活动，提高公民自救互救能力。各行政村结合各自实际情况，加强地震应急知识宣传教育和地震应急演练；学校要把地震应急、避险、自救互救等知识纳入宣传教育内容，对学生进行地震安全教育，组织地震应急避险和救助演练，提高全民地震安全意识。</w:t>
      </w:r>
    </w:p>
    <w:p>
      <w:pPr>
        <w:ind w:firstLine="31680"/>
      </w:pPr>
      <w:r>
        <w:t>2</w:t>
      </w:r>
      <w:r>
        <w:rPr>
          <w:rFonts w:hint="eastAsia"/>
        </w:rPr>
        <w:t>、培训</w:t>
      </w:r>
    </w:p>
    <w:p>
      <w:pPr>
        <w:ind w:firstLine="31680"/>
      </w:pPr>
      <w:r>
        <w:rPr>
          <w:rFonts w:hint="eastAsia"/>
        </w:rPr>
        <w:t>建立健全应急管理培训制度，组织抗震救灾责任人、应急管理人员、抢险救灾队伍、志愿者等进行应急知识和技能培训。</w:t>
      </w:r>
    </w:p>
    <w:p>
      <w:pPr>
        <w:ind w:firstLine="31680"/>
      </w:pPr>
      <w:r>
        <w:rPr>
          <w:rFonts w:hint="eastAsia"/>
        </w:rPr>
        <w:t>按照分级负责的原则，由各级抗震救灾指挥机构统一组织培训。镇抗震救灾指挥部负责镇抗震救灾指挥机构负责人和抗震抢险技术人员的培训；村抗震救灾指挥机构负责乡镇抗震救灾指挥机构负责人和抗震抢险技术人员的培训。每年至少组织一次抗震救灾技术培训。</w:t>
      </w:r>
    </w:p>
    <w:p>
      <w:pPr>
        <w:ind w:firstLine="31680"/>
      </w:pPr>
      <w:r>
        <w:rPr>
          <w:rFonts w:hint="eastAsia"/>
        </w:rPr>
        <w:t>培训工作应做到合理规范课程、考核严格、分类指导，保证培训工作质量。</w:t>
      </w:r>
    </w:p>
    <w:p>
      <w:pPr>
        <w:ind w:firstLine="31680"/>
      </w:pPr>
      <w:r>
        <w:rPr>
          <w:rFonts w:hint="eastAsia"/>
        </w:rPr>
        <w:t>培训工作应结合实际，采取多种组织形式，定期与不定期相结合进行。</w:t>
      </w:r>
    </w:p>
    <w:p>
      <w:pPr>
        <w:ind w:firstLine="31680"/>
      </w:pPr>
      <w:r>
        <w:rPr>
          <w:rFonts w:hint="eastAsia"/>
        </w:rPr>
        <w:t>抗震救灾指挥部成员单位、相关部门的抗震抢险培训由镇人民政府安排，各级地方有关部门给予必要的支持和协助。</w:t>
      </w:r>
    </w:p>
    <w:p>
      <w:pPr>
        <w:pStyle w:val="3"/>
        <w:rPr>
          <w:lang w:val="en-US" w:bidi="ar-SA"/>
        </w:rPr>
      </w:pPr>
      <w:bookmarkStart w:id="79" w:name="_Toc2804"/>
      <w:bookmarkStart w:id="80" w:name="_Toc13937"/>
      <w:r>
        <w:rPr>
          <w:lang w:val="en-US"/>
        </w:rPr>
        <w:t xml:space="preserve">9  </w:t>
      </w:r>
      <w:bookmarkEnd w:id="79"/>
      <w:r>
        <w:rPr>
          <w:rFonts w:hint="eastAsia"/>
          <w:lang w:val="en-US" w:bidi="ar-SA"/>
        </w:rPr>
        <w:t>附则</w:t>
      </w:r>
      <w:bookmarkEnd w:id="80"/>
    </w:p>
    <w:p>
      <w:pPr>
        <w:pStyle w:val="4"/>
        <w:rPr>
          <w:lang w:val="en-US"/>
        </w:rPr>
      </w:pPr>
      <w:bookmarkStart w:id="81" w:name="_Toc2651"/>
      <w:r>
        <w:rPr>
          <w:lang w:val="en-US"/>
        </w:rPr>
        <w:t xml:space="preserve">9.1 </w:t>
      </w:r>
      <w:r>
        <w:rPr>
          <w:rFonts w:hint="eastAsia"/>
          <w:lang w:val="en-US"/>
        </w:rPr>
        <w:t>预案管理</w:t>
      </w:r>
      <w:bookmarkEnd w:id="81"/>
      <w:bookmarkStart w:id="82" w:name="BM7_1名词术语定义"/>
      <w:bookmarkEnd w:id="82"/>
      <w:bookmarkStart w:id="83" w:name="_bookmark33"/>
      <w:bookmarkEnd w:id="83"/>
      <w:bookmarkStart w:id="84" w:name="BM7_2_预案管理与更新"/>
      <w:bookmarkEnd w:id="84"/>
      <w:bookmarkStart w:id="85" w:name="_bookmark32"/>
      <w:bookmarkEnd w:id="85"/>
      <w:bookmarkStart w:id="86" w:name="_Toc21410764"/>
      <w:bookmarkStart w:id="87" w:name="_Toc19468877"/>
    </w:p>
    <w:p>
      <w:pPr>
        <w:ind w:firstLine="31680"/>
        <w:rPr>
          <w:lang w:val="zh-CN"/>
        </w:rPr>
      </w:pPr>
      <w:r>
        <w:rPr>
          <w:rFonts w:hint="eastAsia"/>
          <w:lang w:val="zh-CN"/>
        </w:rPr>
        <w:t>镇平安建设办公室承担本预案的日常管理工作，</w:t>
      </w:r>
      <w:r>
        <w:rPr>
          <w:rFonts w:hint="eastAsia"/>
        </w:rPr>
        <w:t>并</w:t>
      </w:r>
      <w:r>
        <w:rPr>
          <w:rFonts w:hint="eastAsia"/>
          <w:lang w:val="zh-CN"/>
        </w:rPr>
        <w:t>报</w:t>
      </w:r>
      <w:r>
        <w:rPr>
          <w:rFonts w:hint="eastAsia"/>
        </w:rPr>
        <w:t>巴林左旗</w:t>
      </w:r>
      <w:r>
        <w:rPr>
          <w:rFonts w:hint="eastAsia"/>
          <w:lang w:val="zh-CN"/>
        </w:rPr>
        <w:t>应急管理局备案。适时组织开展预案宣传、培训和演练活动，并根据实际情况，依照《内蒙古自治区地震应急预案管理办法》有关要求，视情况及时组织修订完善预案，修订后的应急预案要重新办理审查、论证、备案等各项程序。</w:t>
      </w:r>
    </w:p>
    <w:p>
      <w:pPr>
        <w:ind w:firstLine="31680"/>
        <w:rPr>
          <w:lang w:val="zh-CN"/>
        </w:rPr>
      </w:pPr>
      <w:r>
        <w:rPr>
          <w:rFonts w:hint="eastAsia"/>
          <w:lang w:val="zh-CN"/>
        </w:rPr>
        <w:t>各</w:t>
      </w:r>
      <w:r>
        <w:rPr>
          <w:rFonts w:hint="eastAsia"/>
        </w:rPr>
        <w:t>行政村</w:t>
      </w:r>
      <w:r>
        <w:rPr>
          <w:rFonts w:hint="eastAsia"/>
          <w:lang w:val="zh-CN"/>
        </w:rPr>
        <w:t>负责制定本地区地震应急预案，并报</w:t>
      </w:r>
      <w:r>
        <w:rPr>
          <w:rFonts w:hint="eastAsia"/>
        </w:rPr>
        <w:t>镇抗震救灾指挥部</w:t>
      </w:r>
      <w:r>
        <w:rPr>
          <w:rFonts w:hint="eastAsia"/>
          <w:lang w:val="zh-CN"/>
        </w:rPr>
        <w:t>办公室备案，每年组织</w:t>
      </w:r>
      <w:r>
        <w:rPr>
          <w:lang w:val="zh-CN"/>
        </w:rPr>
        <w:t>1</w:t>
      </w:r>
      <w:r>
        <w:rPr>
          <w:rFonts w:hint="eastAsia"/>
          <w:lang w:val="zh-CN"/>
        </w:rPr>
        <w:t>次地震应急预案宣传和综合演练活动。各</w:t>
      </w:r>
      <w:r>
        <w:rPr>
          <w:rFonts w:hint="eastAsia"/>
        </w:rPr>
        <w:t>抗震救灾指挥部</w:t>
      </w:r>
      <w:r>
        <w:rPr>
          <w:rFonts w:hint="eastAsia"/>
          <w:lang w:val="zh-CN"/>
        </w:rPr>
        <w:t>成员单位按照相应职责，制定本部门、本单位地震应急预案，并报</w:t>
      </w:r>
      <w:r>
        <w:rPr>
          <w:rFonts w:hint="eastAsia"/>
        </w:rPr>
        <w:t>镇抗震救灾指挥部</w:t>
      </w:r>
      <w:r>
        <w:rPr>
          <w:rFonts w:hint="eastAsia"/>
          <w:lang w:val="zh-CN"/>
        </w:rPr>
        <w:t>办公室备案。交通、水利、电力、通信、广播电视等基础设施的经营管理单位和学校、医院，以及可能发生次生灾害的矿山、危险化学物品、尾矿等生产经营单位要制定本单位、企业的地震应急预案，并</w:t>
      </w:r>
      <w:r>
        <w:rPr>
          <w:rFonts w:hint="eastAsia"/>
        </w:rPr>
        <w:t>报镇</w:t>
      </w:r>
      <w:r>
        <w:rPr>
          <w:rFonts w:hint="eastAsia"/>
          <w:lang w:val="zh-CN"/>
        </w:rPr>
        <w:t>应急管理局备案。</w:t>
      </w:r>
    </w:p>
    <w:p>
      <w:pPr>
        <w:pStyle w:val="4"/>
        <w:rPr>
          <w:lang w:val="en-US"/>
        </w:rPr>
      </w:pPr>
      <w:bookmarkStart w:id="88" w:name="_Toc12614"/>
      <w:bookmarkStart w:id="89" w:name="_Toc32220"/>
      <w:r>
        <w:rPr>
          <w:lang w:val="en-US"/>
        </w:rPr>
        <w:t xml:space="preserve">9.2 </w:t>
      </w:r>
      <w:r>
        <w:rPr>
          <w:rFonts w:hint="eastAsia"/>
          <w:lang w:val="en-US"/>
        </w:rPr>
        <w:t>预案修订</w:t>
      </w:r>
      <w:bookmarkEnd w:id="88"/>
      <w:bookmarkEnd w:id="89"/>
    </w:p>
    <w:p>
      <w:pPr>
        <w:ind w:firstLine="31680"/>
        <w:rPr>
          <w:lang w:val="zh-CN"/>
        </w:rPr>
      </w:pPr>
      <w:r>
        <w:rPr>
          <w:rFonts w:hint="eastAsia"/>
          <w:lang w:val="zh-CN"/>
        </w:rPr>
        <w:t>本预案的更新期限为</w:t>
      </w:r>
      <w:r>
        <w:rPr>
          <w:lang w:val="zh-CN"/>
        </w:rPr>
        <w:t>3</w:t>
      </w:r>
      <w:r>
        <w:rPr>
          <w:rFonts w:hint="eastAsia"/>
          <w:lang w:val="zh-CN"/>
        </w:rPr>
        <w:t>年。出现下列情况之一的，本预案应当及时修订：</w:t>
      </w:r>
    </w:p>
    <w:p>
      <w:pPr>
        <w:ind w:firstLine="31680"/>
        <w:rPr>
          <w:lang w:val="zh-CN"/>
        </w:rPr>
      </w:pPr>
      <w:r>
        <w:t>1</w:t>
      </w:r>
      <w:r>
        <w:rPr>
          <w:rFonts w:hint="eastAsia"/>
        </w:rPr>
        <w:t>、</w:t>
      </w:r>
      <w:r>
        <w:rPr>
          <w:rFonts w:hint="eastAsia"/>
          <w:lang w:val="zh-CN"/>
        </w:rPr>
        <w:t>成员单位职能发生变化，或在施行中发现重大问题和缺陷；</w:t>
      </w:r>
    </w:p>
    <w:p>
      <w:pPr>
        <w:ind w:firstLine="31680"/>
        <w:rPr>
          <w:lang w:val="zh-CN"/>
        </w:rPr>
      </w:pPr>
      <w:r>
        <w:t>2</w:t>
      </w:r>
      <w:r>
        <w:rPr>
          <w:rFonts w:hint="eastAsia"/>
        </w:rPr>
        <w:t>、</w:t>
      </w:r>
      <w:r>
        <w:rPr>
          <w:rFonts w:hint="eastAsia"/>
          <w:lang w:val="zh-CN"/>
        </w:rPr>
        <w:t>相关法律、法规、规章制定、修改或者废止；</w:t>
      </w:r>
    </w:p>
    <w:p>
      <w:pPr>
        <w:ind w:firstLine="31680"/>
        <w:rPr>
          <w:lang w:val="zh-CN"/>
        </w:rPr>
      </w:pPr>
      <w:r>
        <w:t>3</w:t>
      </w:r>
      <w:r>
        <w:rPr>
          <w:rFonts w:hint="eastAsia"/>
        </w:rPr>
        <w:t>、地震</w:t>
      </w:r>
      <w:r>
        <w:rPr>
          <w:rFonts w:hint="eastAsia"/>
          <w:lang w:val="zh-CN"/>
        </w:rPr>
        <w:t>灾害面临的风险发生重大变化；</w:t>
      </w:r>
    </w:p>
    <w:p>
      <w:pPr>
        <w:ind w:firstLine="31680"/>
        <w:rPr>
          <w:lang w:val="zh-CN"/>
        </w:rPr>
      </w:pPr>
      <w:r>
        <w:t>4</w:t>
      </w:r>
      <w:r>
        <w:rPr>
          <w:rFonts w:hint="eastAsia"/>
        </w:rPr>
        <w:t>、</w:t>
      </w:r>
      <w:r>
        <w:rPr>
          <w:rFonts w:hint="eastAsia"/>
          <w:lang w:val="zh-CN"/>
        </w:rPr>
        <w:t>重要应急资源发生重大变化；</w:t>
      </w:r>
    </w:p>
    <w:p>
      <w:pPr>
        <w:ind w:firstLine="31680"/>
        <w:rPr>
          <w:lang w:val="zh-CN"/>
        </w:rPr>
      </w:pPr>
      <w:r>
        <w:t>5</w:t>
      </w:r>
      <w:r>
        <w:rPr>
          <w:rFonts w:hint="eastAsia"/>
        </w:rPr>
        <w:t>、</w:t>
      </w:r>
      <w:r>
        <w:rPr>
          <w:rFonts w:hint="eastAsia"/>
          <w:lang w:val="zh-CN"/>
        </w:rPr>
        <w:t>在预案演练或者应急救援中发现需要修订预案的重大问题；</w:t>
      </w:r>
    </w:p>
    <w:p>
      <w:pPr>
        <w:ind w:firstLine="31680"/>
        <w:rPr>
          <w:lang w:val="zh-CN"/>
        </w:rPr>
      </w:pPr>
      <w:r>
        <w:t>6</w:t>
      </w:r>
      <w:r>
        <w:rPr>
          <w:rFonts w:hint="eastAsia"/>
        </w:rPr>
        <w:t>、</w:t>
      </w:r>
      <w:r>
        <w:rPr>
          <w:rFonts w:hint="eastAsia"/>
          <w:lang w:val="zh-CN"/>
        </w:rPr>
        <w:t>其他应当修订的情形。</w:t>
      </w:r>
    </w:p>
    <w:p>
      <w:pPr>
        <w:pStyle w:val="4"/>
        <w:rPr>
          <w:lang w:val="en-US"/>
        </w:rPr>
      </w:pPr>
      <w:bookmarkStart w:id="90" w:name="_Toc21820"/>
      <w:bookmarkStart w:id="91" w:name="_Toc18832"/>
      <w:r>
        <w:rPr>
          <w:lang w:val="en-US"/>
        </w:rPr>
        <w:t xml:space="preserve">9.3 </w:t>
      </w:r>
      <w:r>
        <w:rPr>
          <w:rFonts w:hint="eastAsia"/>
          <w:lang w:val="en-US"/>
        </w:rPr>
        <w:t>预案解释</w:t>
      </w:r>
      <w:bookmarkEnd w:id="90"/>
    </w:p>
    <w:p>
      <w:pPr>
        <w:ind w:firstLine="31680"/>
      </w:pPr>
      <w:r>
        <w:rPr>
          <w:rFonts w:hint="eastAsia"/>
        </w:rPr>
        <w:t>本预案由镇人民政府负责解释。</w:t>
      </w:r>
    </w:p>
    <w:p>
      <w:pPr>
        <w:pStyle w:val="4"/>
        <w:rPr>
          <w:lang w:val="en-US"/>
        </w:rPr>
      </w:pPr>
      <w:bookmarkStart w:id="92" w:name="_Toc23846"/>
      <w:r>
        <w:rPr>
          <w:lang w:val="en-US"/>
        </w:rPr>
        <w:t xml:space="preserve">9.4 </w:t>
      </w:r>
      <w:r>
        <w:rPr>
          <w:rFonts w:hint="eastAsia"/>
          <w:lang w:val="en-US"/>
        </w:rPr>
        <w:t>预案实施时间</w:t>
      </w:r>
      <w:bookmarkEnd w:id="91"/>
      <w:bookmarkEnd w:id="92"/>
    </w:p>
    <w:p>
      <w:pPr>
        <w:ind w:firstLine="31680"/>
        <w:rPr>
          <w:rFonts w:ascii="宋体" w:cs="宋体"/>
          <w:color w:val="000000"/>
        </w:rPr>
      </w:pPr>
      <w:bookmarkStart w:id="93" w:name="_Toc4860"/>
      <w:r>
        <w:rPr>
          <w:rFonts w:hint="eastAsia"/>
        </w:rPr>
        <w:t>本预案自印发之日起施行。</w:t>
      </w:r>
    </w:p>
    <w:bookmarkEnd w:id="93"/>
    <w:p>
      <w:pPr>
        <w:pStyle w:val="3"/>
        <w:rPr>
          <w:lang w:val="en-US" w:bidi="ar-SA"/>
        </w:rPr>
      </w:pPr>
      <w:bookmarkStart w:id="94" w:name="_Toc28725"/>
      <w:r>
        <w:rPr>
          <w:lang w:val="en-US"/>
        </w:rPr>
        <w:t xml:space="preserve">10  </w:t>
      </w:r>
      <w:r>
        <w:rPr>
          <w:rFonts w:hint="eastAsia"/>
          <w:lang w:val="en-US" w:bidi="ar-SA"/>
        </w:rPr>
        <w:t>附件</w:t>
      </w:r>
      <w:bookmarkEnd w:id="94"/>
    </w:p>
    <w:p>
      <w:pPr>
        <w:ind w:firstLine="31680"/>
      </w:pPr>
      <w:r>
        <w:t>1</w:t>
      </w:r>
      <w:r>
        <w:rPr>
          <w:rFonts w:hint="eastAsia"/>
        </w:rPr>
        <w:t>、富河镇抗震救灾组织体系图</w:t>
      </w:r>
    </w:p>
    <w:p>
      <w:pPr>
        <w:ind w:firstLine="31680"/>
      </w:pPr>
      <w:r>
        <w:t>2</w:t>
      </w:r>
      <w:r>
        <w:rPr>
          <w:rFonts w:hint="eastAsia"/>
        </w:rPr>
        <w:t>、富河镇抗震救灾指挥部工作组组成及职责分工</w:t>
      </w:r>
    </w:p>
    <w:p>
      <w:pPr>
        <w:ind w:firstLine="31680"/>
      </w:pPr>
      <w:r>
        <w:t>3</w:t>
      </w:r>
      <w:r>
        <w:rPr>
          <w:rFonts w:hint="eastAsia"/>
        </w:rPr>
        <w:t>、富河镇应急管理局各职能科室有关人员及联系方式</w:t>
      </w:r>
    </w:p>
    <w:p>
      <w:pPr>
        <w:ind w:firstLine="31680"/>
        <w:sectPr>
          <w:footerReference r:id="rId5" w:type="default"/>
          <w:pgSz w:w="11910" w:h="16840"/>
          <w:pgMar w:top="1440" w:right="1800" w:bottom="1440" w:left="1800" w:header="0" w:footer="990" w:gutter="0"/>
          <w:pgNumType w:start="1"/>
          <w:cols w:space="720" w:num="1"/>
        </w:sectPr>
      </w:pPr>
      <w:r>
        <w:t>4</w:t>
      </w:r>
      <w:r>
        <w:rPr>
          <w:rFonts w:hint="eastAsia"/>
        </w:rPr>
        <w:t>、各救援单位及政府有关部门联系方式</w:t>
      </w:r>
    </w:p>
    <w:bookmarkEnd w:id="86"/>
    <w:bookmarkEnd w:id="87"/>
    <w:p>
      <w:pPr>
        <w:spacing w:line="240" w:lineRule="auto"/>
        <w:ind w:firstLine="31680"/>
        <w:outlineLvl w:val="2"/>
        <w:rPr>
          <w:rFonts w:ascii="宋体" w:cs="宋体"/>
          <w:color w:val="000000"/>
        </w:rPr>
      </w:pPr>
      <w:bookmarkStart w:id="95" w:name="_Toc25617"/>
      <w:r>
        <w:rPr>
          <w:rFonts w:hint="eastAsia" w:ascii="宋体" w:hAnsi="宋体" w:cs="宋体"/>
          <w:color w:val="000000"/>
        </w:rPr>
        <w:t>附件</w:t>
      </w:r>
      <w:r>
        <w:rPr>
          <w:rFonts w:ascii="宋体" w:hAnsi="宋体" w:cs="宋体"/>
          <w:color w:val="000000"/>
        </w:rPr>
        <w:t xml:space="preserve">1 </w:t>
      </w:r>
      <w:r>
        <w:rPr>
          <w:rFonts w:hint="eastAsia" w:ascii="宋体" w:hAnsi="宋体" w:cs="宋体"/>
          <w:color w:val="000000"/>
        </w:rPr>
        <w:t>富河镇抗震救灾组织体系图</w:t>
      </w:r>
      <w:bookmarkEnd w:id="95"/>
    </w:p>
    <w:tbl>
      <w:tblPr>
        <w:tblStyle w:val="12"/>
        <w:tblpPr w:leftFromText="181" w:rightFromText="181" w:vertAnchor="text" w:horzAnchor="margin" w:tblpY="1"/>
        <w:tblOverlap w:val="never"/>
        <w:tblW w:w="4947" w:type="pct"/>
        <w:tblInd w:w="0" w:type="dxa"/>
        <w:tblLayout w:type="autofit"/>
        <w:tblCellMar>
          <w:top w:w="0" w:type="dxa"/>
          <w:left w:w="0" w:type="dxa"/>
          <w:bottom w:w="0" w:type="dxa"/>
          <w:right w:w="0" w:type="dxa"/>
        </w:tblCellMar>
      </w:tblPr>
      <w:tblGrid>
        <w:gridCol w:w="449"/>
        <w:gridCol w:w="449"/>
        <w:gridCol w:w="449"/>
        <w:gridCol w:w="410"/>
        <w:gridCol w:w="39"/>
        <w:gridCol w:w="449"/>
        <w:gridCol w:w="449"/>
        <w:gridCol w:w="449"/>
        <w:gridCol w:w="449"/>
        <w:gridCol w:w="317"/>
        <w:gridCol w:w="132"/>
        <w:gridCol w:w="449"/>
        <w:gridCol w:w="449"/>
        <w:gridCol w:w="449"/>
        <w:gridCol w:w="449"/>
        <w:gridCol w:w="351"/>
        <w:gridCol w:w="98"/>
        <w:gridCol w:w="449"/>
        <w:gridCol w:w="449"/>
        <w:gridCol w:w="449"/>
        <w:gridCol w:w="449"/>
        <w:gridCol w:w="373"/>
        <w:gridCol w:w="76"/>
        <w:gridCol w:w="449"/>
        <w:gridCol w:w="449"/>
        <w:gridCol w:w="449"/>
        <w:gridCol w:w="449"/>
        <w:gridCol w:w="286"/>
        <w:gridCol w:w="163"/>
        <w:gridCol w:w="450"/>
        <w:gridCol w:w="450"/>
        <w:gridCol w:w="450"/>
        <w:gridCol w:w="293"/>
        <w:gridCol w:w="161"/>
        <w:gridCol w:w="450"/>
        <w:gridCol w:w="450"/>
        <w:gridCol w:w="560"/>
      </w:tblGrid>
      <w:tr>
        <w:tblPrEx>
          <w:tblCellMar>
            <w:top w:w="0" w:type="dxa"/>
            <w:left w:w="0" w:type="dxa"/>
            <w:bottom w:w="0" w:type="dxa"/>
            <w:right w:w="0" w:type="dxa"/>
          </w:tblCellMar>
        </w:tblPrEx>
        <w:trPr>
          <w:trHeight w:val="809" w:hRule="atLeast"/>
        </w:trPr>
        <w:tc>
          <w:tcPr>
            <w:tcW w:w="5000" w:type="pct"/>
            <w:gridSpan w:val="3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jc w:val="center"/>
            </w:pPr>
            <w:r>
              <w:rPr>
                <w:rFonts w:hint="eastAsia"/>
              </w:rPr>
              <w:t>指挥长</w:t>
            </w:r>
            <w:r>
              <w:br w:type="textWrapping"/>
            </w:r>
            <w:r>
              <w:rPr>
                <w:rFonts w:hint="eastAsia"/>
              </w:rPr>
              <w:t>中共富河镇委员会书记、富河镇人民政府镇长</w:t>
            </w:r>
          </w:p>
        </w:tc>
      </w:tr>
      <w:tr>
        <w:tblPrEx>
          <w:tblCellMar>
            <w:top w:w="0" w:type="dxa"/>
            <w:left w:w="0" w:type="dxa"/>
            <w:bottom w:w="0" w:type="dxa"/>
            <w:right w:w="0" w:type="dxa"/>
          </w:tblCellMar>
        </w:tblPrEx>
        <w:trPr>
          <w:trHeight w:val="809" w:hRule="atLeast"/>
        </w:trPr>
        <w:tc>
          <w:tcPr>
            <w:tcW w:w="5000" w:type="pct"/>
            <w:gridSpan w:val="3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jc w:val="center"/>
            </w:pPr>
            <w:r>
              <w:rPr>
                <w:rFonts w:hint="eastAsia"/>
              </w:rPr>
              <w:t>执行指挥长</w:t>
            </w:r>
            <w:r>
              <w:br w:type="textWrapping"/>
            </w:r>
            <w:r>
              <w:rPr>
                <w:rFonts w:hint="eastAsia"/>
              </w:rPr>
              <w:t>富河镇人民政府分管副镇长</w:t>
            </w:r>
          </w:p>
        </w:tc>
      </w:tr>
      <w:tr>
        <w:tblPrEx>
          <w:tblCellMar>
            <w:top w:w="0" w:type="dxa"/>
            <w:left w:w="0" w:type="dxa"/>
            <w:bottom w:w="0" w:type="dxa"/>
            <w:right w:w="0" w:type="dxa"/>
          </w:tblCellMar>
        </w:tblPrEx>
        <w:trPr>
          <w:trHeight w:val="809" w:hRule="atLeast"/>
        </w:trPr>
        <w:tc>
          <w:tcPr>
            <w:tcW w:w="5000" w:type="pct"/>
            <w:gridSpan w:val="3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5"/>
              <w:jc w:val="center"/>
            </w:pPr>
            <w:r>
              <w:rPr>
                <w:rFonts w:hint="eastAsia"/>
              </w:rPr>
              <w:t>副指挥长</w:t>
            </w:r>
          </w:p>
        </w:tc>
      </w:tr>
      <w:tr>
        <w:tblPrEx>
          <w:tblCellMar>
            <w:top w:w="0" w:type="dxa"/>
            <w:left w:w="0" w:type="dxa"/>
            <w:bottom w:w="0" w:type="dxa"/>
            <w:right w:w="0" w:type="dxa"/>
          </w:tblCellMar>
        </w:tblPrEx>
        <w:trPr>
          <w:trHeight w:val="809" w:hRule="atLeast"/>
        </w:trPr>
        <w:tc>
          <w:tcPr>
            <w:tcW w:w="626"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jc w:val="center"/>
            </w:pPr>
            <w:r>
              <w:rPr>
                <w:rFonts w:hint="eastAsia"/>
              </w:rPr>
              <w:t>镇人大主席</w:t>
            </w:r>
          </w:p>
        </w:tc>
        <w:tc>
          <w:tcPr>
            <w:tcW w:w="767"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jc w:val="center"/>
            </w:pPr>
            <w:r>
              <w:rPr>
                <w:rFonts w:hint="eastAsia"/>
              </w:rPr>
              <w:t>镇党委副书记</w:t>
            </w:r>
          </w:p>
        </w:tc>
        <w:tc>
          <w:tcPr>
            <w:tcW w:w="812"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jc w:val="center"/>
            </w:pPr>
            <w:r>
              <w:rPr>
                <w:rFonts w:hint="eastAsia"/>
              </w:rPr>
              <w:t>镇纪委书记</w:t>
            </w:r>
          </w:p>
        </w:tc>
        <w:tc>
          <w:tcPr>
            <w:tcW w:w="808"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jc w:val="center"/>
            </w:pPr>
            <w:r>
              <w:rPr>
                <w:rFonts w:hint="eastAsia"/>
              </w:rPr>
              <w:t>镇党委组织委员</w:t>
            </w:r>
          </w:p>
        </w:tc>
        <w:tc>
          <w:tcPr>
            <w:tcW w:w="769"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jc w:val="center"/>
            </w:pPr>
            <w:r>
              <w:rPr>
                <w:rFonts w:hint="eastAsia"/>
              </w:rPr>
              <w:t>镇党委宣传委员</w:t>
            </w:r>
          </w:p>
        </w:tc>
        <w:tc>
          <w:tcPr>
            <w:tcW w:w="642"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jc w:val="center"/>
            </w:pPr>
            <w:r>
              <w:rPr>
                <w:rFonts w:hint="eastAsia"/>
              </w:rPr>
              <w:t>镇党群服务中心副主任</w:t>
            </w:r>
          </w:p>
        </w:tc>
        <w:tc>
          <w:tcPr>
            <w:tcW w:w="573"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jc w:val="center"/>
            </w:pPr>
            <w:r>
              <w:rPr>
                <w:rFonts w:hint="eastAsia"/>
              </w:rPr>
              <w:t>镇党政领导班子其它成员</w:t>
            </w:r>
          </w:p>
        </w:tc>
      </w:tr>
      <w:tr>
        <w:tblPrEx>
          <w:tblCellMar>
            <w:top w:w="0" w:type="dxa"/>
            <w:left w:w="0" w:type="dxa"/>
            <w:bottom w:w="0" w:type="dxa"/>
            <w:right w:w="0" w:type="dxa"/>
          </w:tblCellMar>
        </w:tblPrEx>
        <w:trPr>
          <w:trHeight w:val="809" w:hRule="atLeast"/>
        </w:trPr>
        <w:tc>
          <w:tcPr>
            <w:tcW w:w="5000" w:type="pct"/>
            <w:gridSpan w:val="3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5"/>
              <w:jc w:val="center"/>
            </w:pPr>
            <w:r>
              <w:rPr>
                <w:rFonts w:hint="eastAsia"/>
              </w:rPr>
              <w:t>成员单位</w:t>
            </w:r>
          </w:p>
        </w:tc>
      </w:tr>
      <w:tr>
        <w:tblPrEx>
          <w:tblCellMar>
            <w:top w:w="0" w:type="dxa"/>
            <w:left w:w="0" w:type="dxa"/>
            <w:bottom w:w="0" w:type="dxa"/>
            <w:right w:w="0" w:type="dxa"/>
          </w:tblCellMar>
        </w:tblPrEx>
        <w:trPr>
          <w:trHeight w:val="3803" w:hRule="atLeast"/>
        </w:trPr>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富河镇人民武装部</w:t>
            </w:r>
          </w:p>
        </w:tc>
        <w:tc>
          <w:tcPr>
            <w:tcW w:w="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pStyle w:val="25"/>
              <w:jc w:val="both"/>
            </w:pPr>
            <w:r>
              <w:rPr>
                <w:rFonts w:hint="eastAsia"/>
              </w:rPr>
              <w:t>富河镇党政综合办公室</w:t>
            </w:r>
          </w:p>
        </w:tc>
        <w:tc>
          <w:tcPr>
            <w:tcW w:w="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pStyle w:val="25"/>
              <w:jc w:val="both"/>
            </w:pPr>
            <w:r>
              <w:rPr>
                <w:rFonts w:hint="eastAsia"/>
              </w:rPr>
              <w:t>富河镇平安建设办公室</w:t>
            </w:r>
          </w:p>
        </w:tc>
        <w:tc>
          <w:tcPr>
            <w:tcW w:w="16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富河镇基层党的建设办公室</w:t>
            </w: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富河镇乡村振兴办公室</w:t>
            </w: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富河镇社会事务办公室</w:t>
            </w:r>
          </w:p>
        </w:tc>
        <w:tc>
          <w:tcPr>
            <w:tcW w:w="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pStyle w:val="25"/>
              <w:jc w:val="both"/>
            </w:pPr>
            <w:r>
              <w:rPr>
                <w:rFonts w:hint="eastAsia"/>
              </w:rPr>
              <w:t>富河镇综合行政执法局</w:t>
            </w:r>
          </w:p>
        </w:tc>
        <w:tc>
          <w:tcPr>
            <w:tcW w:w="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pStyle w:val="25"/>
              <w:jc w:val="both"/>
            </w:pPr>
            <w:r>
              <w:rPr>
                <w:rFonts w:hint="eastAsia"/>
              </w:rPr>
              <w:t>富河镇综合保障和技术推广中心</w:t>
            </w:r>
          </w:p>
        </w:tc>
        <w:tc>
          <w:tcPr>
            <w:tcW w:w="16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富河镇党群服务中心</w:t>
            </w: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富河镇卫生院</w:t>
            </w: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富河小学</w:t>
            </w: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富河供电所</w:t>
            </w: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浩尔吐邮政支局</w:t>
            </w:r>
          </w:p>
        </w:tc>
        <w:tc>
          <w:tcPr>
            <w:tcW w:w="16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联通浩尔吐营业所</w:t>
            </w: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富河镇派出所</w:t>
            </w: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浩尔吐道班</w:t>
            </w: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富河镇市场监督管理所</w:t>
            </w: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r>
              <w:rPr>
                <w:rFonts w:hint="eastAsia"/>
              </w:rPr>
              <w:t>富河国家气象观测站</w:t>
            </w:r>
          </w:p>
        </w:tc>
        <w:tc>
          <w:tcPr>
            <w:tcW w:w="16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c>
          <w:tcPr>
            <w:tcW w:w="16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c>
          <w:tcPr>
            <w:tcW w:w="16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c>
          <w:tcPr>
            <w:tcW w:w="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c>
          <w:tcPr>
            <w:tcW w:w="1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pStyle w:val="25"/>
              <w:jc w:val="both"/>
            </w:pPr>
          </w:p>
        </w:tc>
      </w:tr>
    </w:tbl>
    <w:p>
      <w:pPr>
        <w:pStyle w:val="2"/>
        <w:rPr>
          <w:rFonts w:ascii="宋体" w:eastAsia="宋体" w:cs="宋体"/>
          <w:sz w:val="28"/>
          <w:szCs w:val="28"/>
        </w:rPr>
      </w:pPr>
    </w:p>
    <w:p>
      <w:pPr>
        <w:pStyle w:val="2"/>
        <w:rPr>
          <w:rFonts w:ascii="宋体" w:eastAsia="宋体" w:cs="宋体"/>
          <w:sz w:val="28"/>
          <w:szCs w:val="28"/>
        </w:rPr>
        <w:sectPr>
          <w:footerReference r:id="rId6" w:type="default"/>
          <w:pgSz w:w="16840" w:h="11910" w:orient="landscape"/>
          <w:pgMar w:top="1680" w:right="1500" w:bottom="1440" w:left="1180" w:header="0" w:footer="990" w:gutter="0"/>
          <w:pgNumType w:start="1"/>
          <w:cols w:space="720" w:num="1"/>
        </w:sectPr>
      </w:pPr>
    </w:p>
    <w:p>
      <w:pPr>
        <w:pStyle w:val="5"/>
        <w:spacing w:line="360" w:lineRule="auto"/>
        <w:ind w:left="0" w:right="0" w:firstLine="0" w:firstLineChars="0"/>
        <w:jc w:val="both"/>
        <w:outlineLvl w:val="2"/>
        <w:rPr>
          <w:rFonts w:ascii="宋体" w:hAnsi="宋体" w:eastAsia="宋体" w:cs="宋体"/>
          <w:color w:val="000000"/>
          <w:sz w:val="28"/>
          <w:szCs w:val="28"/>
          <w:lang w:val="en-US"/>
        </w:rPr>
      </w:pPr>
      <w:bookmarkStart w:id="96" w:name="_Toc14608"/>
      <w:r>
        <w:rPr>
          <w:rFonts w:hint="eastAsia" w:ascii="宋体" w:hAnsi="宋体" w:eastAsia="宋体" w:cs="宋体"/>
          <w:color w:val="000000"/>
          <w:sz w:val="28"/>
          <w:szCs w:val="28"/>
          <w:lang w:val="en-US"/>
        </w:rPr>
        <w:t>附件</w:t>
      </w:r>
      <w:r>
        <w:rPr>
          <w:rFonts w:ascii="宋体" w:hAnsi="宋体" w:eastAsia="宋体" w:cs="宋体"/>
          <w:color w:val="000000"/>
          <w:sz w:val="28"/>
          <w:szCs w:val="28"/>
          <w:lang w:val="en-US"/>
        </w:rPr>
        <w:t xml:space="preserve">2 </w:t>
      </w:r>
      <w:r>
        <w:rPr>
          <w:rFonts w:hint="eastAsia" w:ascii="宋体" w:hAnsi="宋体" w:eastAsia="宋体" w:cs="宋体"/>
          <w:color w:val="000000"/>
          <w:sz w:val="28"/>
          <w:szCs w:val="28"/>
          <w:lang w:val="en-US"/>
        </w:rPr>
        <w:t>富河镇抗震救灾指挥部工作组组成及职责分工</w:t>
      </w:r>
      <w:bookmarkEnd w:id="96"/>
    </w:p>
    <w:tbl>
      <w:tblPr>
        <w:tblStyle w:val="12"/>
        <w:tblW w:w="14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74"/>
        <w:gridCol w:w="1617"/>
        <w:gridCol w:w="2385"/>
        <w:gridCol w:w="8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69" w:type="dxa"/>
            <w:vAlign w:val="center"/>
          </w:tcPr>
          <w:p>
            <w:pPr>
              <w:pStyle w:val="25"/>
              <w:jc w:val="center"/>
            </w:pPr>
            <w:r>
              <w:rPr>
                <w:rFonts w:hint="eastAsia"/>
              </w:rPr>
              <w:t>序号</w:t>
            </w:r>
          </w:p>
        </w:tc>
        <w:tc>
          <w:tcPr>
            <w:tcW w:w="1874" w:type="dxa"/>
            <w:vAlign w:val="center"/>
          </w:tcPr>
          <w:p>
            <w:pPr>
              <w:pStyle w:val="25"/>
              <w:jc w:val="center"/>
            </w:pPr>
            <w:r>
              <w:rPr>
                <w:rFonts w:hint="eastAsia"/>
              </w:rPr>
              <w:t>工作组</w:t>
            </w:r>
          </w:p>
        </w:tc>
        <w:tc>
          <w:tcPr>
            <w:tcW w:w="1617" w:type="dxa"/>
            <w:vAlign w:val="center"/>
          </w:tcPr>
          <w:p>
            <w:pPr>
              <w:pStyle w:val="25"/>
              <w:jc w:val="center"/>
            </w:pPr>
            <w:r>
              <w:rPr>
                <w:rFonts w:hint="eastAsia"/>
              </w:rPr>
              <w:t>牵头部门</w:t>
            </w:r>
          </w:p>
        </w:tc>
        <w:tc>
          <w:tcPr>
            <w:tcW w:w="2385" w:type="dxa"/>
            <w:vAlign w:val="center"/>
          </w:tcPr>
          <w:p>
            <w:pPr>
              <w:adjustRightInd/>
              <w:snapToGrid/>
              <w:spacing w:line="280" w:lineRule="exact"/>
              <w:ind w:firstLine="31680"/>
              <w:jc w:val="center"/>
              <w:rPr>
                <w:rFonts w:ascii="宋体" w:cs="宋体"/>
                <w:sz w:val="24"/>
                <w:szCs w:val="24"/>
              </w:rPr>
            </w:pPr>
            <w:r>
              <w:rPr>
                <w:rFonts w:hint="eastAsia" w:ascii="宋体" w:hAnsi="宋体" w:cs="宋体"/>
                <w:sz w:val="24"/>
                <w:szCs w:val="24"/>
              </w:rPr>
              <w:t>参加部门</w:t>
            </w:r>
          </w:p>
        </w:tc>
        <w:tc>
          <w:tcPr>
            <w:tcW w:w="8131" w:type="dxa"/>
            <w:vAlign w:val="center"/>
          </w:tcPr>
          <w:p>
            <w:pPr>
              <w:adjustRightInd/>
              <w:snapToGrid/>
              <w:spacing w:line="280" w:lineRule="exact"/>
              <w:ind w:firstLine="31680"/>
              <w:jc w:val="center"/>
              <w:rPr>
                <w:rFonts w:ascii="宋体" w:cs="宋体"/>
                <w:sz w:val="24"/>
                <w:szCs w:val="24"/>
              </w:rPr>
            </w:pPr>
            <w:r>
              <w:rPr>
                <w:rFonts w:hint="eastAsia" w:ascii="宋体" w:hAnsi="宋体" w:cs="宋体"/>
                <w:sz w:val="24"/>
                <w:szCs w:val="24"/>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69" w:type="dxa"/>
            <w:vAlign w:val="center"/>
          </w:tcPr>
          <w:p>
            <w:pPr>
              <w:pStyle w:val="25"/>
              <w:jc w:val="center"/>
            </w:pPr>
            <w:r>
              <w:t>1</w:t>
            </w:r>
          </w:p>
        </w:tc>
        <w:tc>
          <w:tcPr>
            <w:tcW w:w="1874" w:type="dxa"/>
            <w:vAlign w:val="center"/>
          </w:tcPr>
          <w:p>
            <w:pPr>
              <w:pStyle w:val="25"/>
              <w:jc w:val="center"/>
            </w:pPr>
            <w:r>
              <w:rPr>
                <w:rFonts w:hint="eastAsia"/>
              </w:rPr>
              <w:t>综合协调组</w:t>
            </w:r>
          </w:p>
        </w:tc>
        <w:tc>
          <w:tcPr>
            <w:tcW w:w="1617" w:type="dxa"/>
            <w:vAlign w:val="center"/>
          </w:tcPr>
          <w:p>
            <w:pPr>
              <w:pStyle w:val="25"/>
              <w:jc w:val="center"/>
            </w:pPr>
            <w:r>
              <w:rPr>
                <w:rFonts w:hint="eastAsia"/>
              </w:rPr>
              <w:t>镇党政综合办公室</w:t>
            </w:r>
          </w:p>
        </w:tc>
        <w:tc>
          <w:tcPr>
            <w:tcW w:w="2385"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镇人民武装部、镇平安建设办公室等部门组成。</w:t>
            </w:r>
          </w:p>
        </w:tc>
        <w:tc>
          <w:tcPr>
            <w:tcW w:w="8131"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搜集汇总震情、灾情、社情等；制定应急救援具体方案；协助指挥长组织实施抗震救灾行动；掌握、报告、通报抗震救灾进度情况；协调外援部队在富河镇的救援行动；协调自治区、市有关单位来我镇的救援行动；协调志愿者的救援行动；协调有关专家指导应急救援工作；办理抗震救灾指挥部会议、活动和文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pPr>
              <w:pStyle w:val="25"/>
              <w:jc w:val="center"/>
            </w:pPr>
            <w:r>
              <w:t>2</w:t>
            </w:r>
          </w:p>
        </w:tc>
        <w:tc>
          <w:tcPr>
            <w:tcW w:w="1874" w:type="dxa"/>
            <w:vAlign w:val="center"/>
          </w:tcPr>
          <w:p>
            <w:pPr>
              <w:pStyle w:val="25"/>
              <w:jc w:val="center"/>
            </w:pPr>
            <w:r>
              <w:rPr>
                <w:rFonts w:hint="eastAsia"/>
              </w:rPr>
              <w:t>地震监测及趋势</w:t>
            </w:r>
          </w:p>
          <w:p>
            <w:pPr>
              <w:pStyle w:val="25"/>
              <w:jc w:val="center"/>
            </w:pPr>
            <w:r>
              <w:rPr>
                <w:rFonts w:hint="eastAsia"/>
              </w:rPr>
              <w:t>研判组</w:t>
            </w:r>
          </w:p>
        </w:tc>
        <w:tc>
          <w:tcPr>
            <w:tcW w:w="1617" w:type="dxa"/>
            <w:vAlign w:val="center"/>
          </w:tcPr>
          <w:p>
            <w:pPr>
              <w:pStyle w:val="25"/>
              <w:jc w:val="center"/>
            </w:pPr>
            <w:r>
              <w:rPr>
                <w:rFonts w:hint="eastAsia"/>
              </w:rPr>
              <w:t>镇平安建设办公室</w:t>
            </w:r>
          </w:p>
        </w:tc>
        <w:tc>
          <w:tcPr>
            <w:tcW w:w="2385"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富河国家气象观测站等部门组成。</w:t>
            </w:r>
          </w:p>
        </w:tc>
        <w:tc>
          <w:tcPr>
            <w:tcW w:w="8131"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负责震情速报、通报，组织专家研判震情趋势；提供灾区的气象信息。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pPr>
              <w:pStyle w:val="25"/>
              <w:jc w:val="center"/>
            </w:pPr>
            <w:r>
              <w:t>3</w:t>
            </w:r>
          </w:p>
        </w:tc>
        <w:tc>
          <w:tcPr>
            <w:tcW w:w="1874" w:type="dxa"/>
            <w:vAlign w:val="center"/>
          </w:tcPr>
          <w:p>
            <w:pPr>
              <w:pStyle w:val="25"/>
              <w:jc w:val="center"/>
            </w:pPr>
            <w:r>
              <w:rPr>
                <w:rFonts w:hint="eastAsia"/>
              </w:rPr>
              <w:t>抢险救援组</w:t>
            </w:r>
          </w:p>
        </w:tc>
        <w:tc>
          <w:tcPr>
            <w:tcW w:w="1617" w:type="dxa"/>
            <w:vAlign w:val="center"/>
          </w:tcPr>
          <w:p>
            <w:pPr>
              <w:pStyle w:val="25"/>
              <w:jc w:val="center"/>
            </w:pPr>
            <w:r>
              <w:rPr>
                <w:rFonts w:hint="eastAsia"/>
              </w:rPr>
              <w:t>镇人民武装部</w:t>
            </w:r>
          </w:p>
        </w:tc>
        <w:tc>
          <w:tcPr>
            <w:tcW w:w="2385"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镇派出所、消防灭火排等部门组成。</w:t>
            </w:r>
          </w:p>
        </w:tc>
        <w:tc>
          <w:tcPr>
            <w:tcW w:w="8131"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组织搜救被困群众和受伤人员；组织各类次生灾害处置及特殊建筑物抢险；组织对可能发生次生灾害的地点和设施采取紧急防护措施；组织对重大地质灾害隐患的监测预警和危险化学品等污染物防控；协调镇交警大队、镇人武部支援地方灾后恢复重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69" w:type="dxa"/>
            <w:vAlign w:val="center"/>
          </w:tcPr>
          <w:p>
            <w:pPr>
              <w:pStyle w:val="25"/>
              <w:jc w:val="center"/>
            </w:pPr>
            <w:r>
              <w:t>4</w:t>
            </w:r>
          </w:p>
        </w:tc>
        <w:tc>
          <w:tcPr>
            <w:tcW w:w="1874" w:type="dxa"/>
            <w:vAlign w:val="center"/>
          </w:tcPr>
          <w:p>
            <w:pPr>
              <w:pStyle w:val="25"/>
              <w:jc w:val="center"/>
            </w:pPr>
            <w:r>
              <w:rPr>
                <w:rFonts w:hint="eastAsia"/>
              </w:rPr>
              <w:t>基础设施保障组</w:t>
            </w:r>
          </w:p>
        </w:tc>
        <w:tc>
          <w:tcPr>
            <w:tcW w:w="1617" w:type="dxa"/>
            <w:vAlign w:val="center"/>
          </w:tcPr>
          <w:p>
            <w:pPr>
              <w:pStyle w:val="25"/>
              <w:jc w:val="center"/>
            </w:pPr>
            <w:r>
              <w:rPr>
                <w:rFonts w:hint="eastAsia"/>
              </w:rPr>
              <w:t>镇乡村振兴办公室</w:t>
            </w:r>
          </w:p>
        </w:tc>
        <w:tc>
          <w:tcPr>
            <w:tcW w:w="2385"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富河供电所、镇党群服务中心、镇综合保障和技术推广中心、富河国家气象观测站、联通浩尔吐营业所、浩尔吐邮政支局等部门组成。</w:t>
            </w:r>
          </w:p>
        </w:tc>
        <w:tc>
          <w:tcPr>
            <w:tcW w:w="8131"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负责被毁坏的公路、桥梁等重要设施的抢修；负责建立生命绿色通道；紧急调拨运输工具，保证抢险救援人员、物资的运输，伤员转运和受灾群众疏散；负责组织供电、供水、排水、通讯、广播电视等城市基础设施工程抢修；负责水库安全，组织水利设施抢险抢修，监测水质和防控污染，研究解决饮用水水源安全问题；制定科学恢复生产方案；负责清理灾区现场，对危险建筑物实施工程排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769" w:type="dxa"/>
            <w:vAlign w:val="center"/>
          </w:tcPr>
          <w:p>
            <w:pPr>
              <w:pStyle w:val="25"/>
              <w:jc w:val="center"/>
            </w:pPr>
            <w:r>
              <w:t>5</w:t>
            </w:r>
          </w:p>
        </w:tc>
        <w:tc>
          <w:tcPr>
            <w:tcW w:w="1874" w:type="dxa"/>
            <w:vAlign w:val="center"/>
          </w:tcPr>
          <w:p>
            <w:pPr>
              <w:pStyle w:val="25"/>
              <w:jc w:val="center"/>
            </w:pPr>
            <w:r>
              <w:rPr>
                <w:rFonts w:hint="eastAsia"/>
              </w:rPr>
              <w:t>医疗救护和卫生防疫组</w:t>
            </w:r>
          </w:p>
        </w:tc>
        <w:tc>
          <w:tcPr>
            <w:tcW w:w="1617" w:type="dxa"/>
            <w:vAlign w:val="center"/>
          </w:tcPr>
          <w:p>
            <w:pPr>
              <w:pStyle w:val="25"/>
              <w:jc w:val="center"/>
            </w:pPr>
            <w:r>
              <w:rPr>
                <w:rFonts w:hint="eastAsia"/>
              </w:rPr>
              <w:t>镇社会事务办公室</w:t>
            </w:r>
          </w:p>
        </w:tc>
        <w:tc>
          <w:tcPr>
            <w:tcW w:w="2385"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富河镇市场监督管理所等单位组成。</w:t>
            </w:r>
          </w:p>
        </w:tc>
        <w:tc>
          <w:tcPr>
            <w:tcW w:w="8131"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负责医疗救护和卫生防疫，组织医疗救护队伍，调集医疗器械、药品，对受伤人员进行救治；监督、监测灾区生活饮用水、食品卫生和药品安全，预防和控制各种疫情；负责开展对震后动物尸体的无害化处理、饲养场所的消毒，防止人畜共患传染病和动物疫情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69" w:type="dxa"/>
            <w:vAlign w:val="center"/>
          </w:tcPr>
          <w:p>
            <w:pPr>
              <w:pStyle w:val="25"/>
              <w:jc w:val="center"/>
            </w:pPr>
            <w:r>
              <w:t>6</w:t>
            </w:r>
          </w:p>
        </w:tc>
        <w:tc>
          <w:tcPr>
            <w:tcW w:w="1874" w:type="dxa"/>
            <w:vAlign w:val="center"/>
          </w:tcPr>
          <w:p>
            <w:pPr>
              <w:pStyle w:val="25"/>
              <w:jc w:val="center"/>
            </w:pPr>
            <w:r>
              <w:rPr>
                <w:rFonts w:hint="eastAsia"/>
              </w:rPr>
              <w:t>社会治安组</w:t>
            </w:r>
          </w:p>
        </w:tc>
        <w:tc>
          <w:tcPr>
            <w:tcW w:w="1617" w:type="dxa"/>
            <w:vAlign w:val="center"/>
          </w:tcPr>
          <w:p>
            <w:pPr>
              <w:pStyle w:val="25"/>
              <w:jc w:val="center"/>
            </w:pPr>
            <w:r>
              <w:rPr>
                <w:rFonts w:hint="eastAsia"/>
              </w:rPr>
              <w:t>镇派出所</w:t>
            </w:r>
          </w:p>
        </w:tc>
        <w:tc>
          <w:tcPr>
            <w:tcW w:w="2385"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镇平安建设办公室等部门组成。</w:t>
            </w:r>
          </w:p>
        </w:tc>
        <w:tc>
          <w:tcPr>
            <w:tcW w:w="8131"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负责灾区治安管理和安全保卫工作，预防和打击各种违法犯罪活动，维护社会治安，维护道路交通秩序；协调相关部门疏导解决由地震引发的各种社会矛盾，维护社会秩序稳定；组织对党政机关、要害部门、金融单位、储备仓库等重要场所的警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pPr>
              <w:pStyle w:val="25"/>
              <w:jc w:val="center"/>
            </w:pPr>
            <w:r>
              <w:t>7</w:t>
            </w:r>
          </w:p>
        </w:tc>
        <w:tc>
          <w:tcPr>
            <w:tcW w:w="1874" w:type="dxa"/>
            <w:vAlign w:val="center"/>
          </w:tcPr>
          <w:p>
            <w:pPr>
              <w:pStyle w:val="25"/>
              <w:jc w:val="center"/>
            </w:pPr>
            <w:r>
              <w:rPr>
                <w:rFonts w:hint="eastAsia"/>
              </w:rPr>
              <w:t>群众生活保障组</w:t>
            </w:r>
          </w:p>
        </w:tc>
        <w:tc>
          <w:tcPr>
            <w:tcW w:w="1617" w:type="dxa"/>
            <w:vAlign w:val="center"/>
          </w:tcPr>
          <w:p>
            <w:pPr>
              <w:pStyle w:val="25"/>
              <w:jc w:val="center"/>
            </w:pPr>
            <w:r>
              <w:rPr>
                <w:rFonts w:hint="eastAsia"/>
              </w:rPr>
              <w:t>镇社会事务办公室</w:t>
            </w:r>
          </w:p>
        </w:tc>
        <w:tc>
          <w:tcPr>
            <w:tcW w:w="2385"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镇平安建设办公室、镇党政综合办公室等单位组成。</w:t>
            </w:r>
          </w:p>
        </w:tc>
        <w:tc>
          <w:tcPr>
            <w:tcW w:w="8131"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组织实施受灾群众救助工作及相应的资金物资保障；保障救灾所需的燃料、食品、药品、饮用水等生活必需品供应和救援人员基本生活必需品供应；做好受灾群众的紧急安置；保障灾区群众基本生活，保障灾区市场供应；接受和安排捐赠；负责抗震救灾款物的监管与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769" w:type="dxa"/>
            <w:vAlign w:val="center"/>
          </w:tcPr>
          <w:p>
            <w:pPr>
              <w:pStyle w:val="25"/>
              <w:jc w:val="center"/>
            </w:pPr>
            <w:r>
              <w:t>8</w:t>
            </w:r>
          </w:p>
        </w:tc>
        <w:tc>
          <w:tcPr>
            <w:tcW w:w="1874" w:type="dxa"/>
            <w:vAlign w:val="center"/>
          </w:tcPr>
          <w:p>
            <w:pPr>
              <w:pStyle w:val="25"/>
              <w:jc w:val="center"/>
            </w:pPr>
            <w:r>
              <w:rPr>
                <w:rFonts w:hint="eastAsia"/>
              </w:rPr>
              <w:t>宣传报道组</w:t>
            </w:r>
          </w:p>
        </w:tc>
        <w:tc>
          <w:tcPr>
            <w:tcW w:w="1617" w:type="dxa"/>
            <w:vAlign w:val="center"/>
          </w:tcPr>
          <w:p>
            <w:pPr>
              <w:pStyle w:val="25"/>
              <w:jc w:val="center"/>
            </w:pPr>
            <w:r>
              <w:rPr>
                <w:rFonts w:hint="eastAsia"/>
              </w:rPr>
              <w:t>镇基层党的建设办公室</w:t>
            </w:r>
          </w:p>
        </w:tc>
        <w:tc>
          <w:tcPr>
            <w:tcW w:w="2385" w:type="dxa"/>
            <w:vAlign w:val="center"/>
          </w:tcPr>
          <w:p>
            <w:pPr>
              <w:adjustRightInd/>
              <w:snapToGrid/>
              <w:spacing w:line="280" w:lineRule="exact"/>
              <w:ind w:firstLine="31680"/>
              <w:rPr>
                <w:rFonts w:ascii="宋体" w:cs="宋体"/>
                <w:sz w:val="21"/>
                <w:szCs w:val="21"/>
              </w:rPr>
            </w:pPr>
          </w:p>
        </w:tc>
        <w:tc>
          <w:tcPr>
            <w:tcW w:w="8131"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负责组织震情、灾情、抗震救灾信息新闻发布和宣传报道工作；负责灾区群众的科普知识宣传工作；开展舆情收集分析，正确引导舆论。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69" w:type="dxa"/>
            <w:vAlign w:val="center"/>
          </w:tcPr>
          <w:p>
            <w:pPr>
              <w:pStyle w:val="25"/>
              <w:jc w:val="center"/>
            </w:pPr>
            <w:r>
              <w:t>9</w:t>
            </w:r>
          </w:p>
        </w:tc>
        <w:tc>
          <w:tcPr>
            <w:tcW w:w="1874" w:type="dxa"/>
            <w:vAlign w:val="center"/>
          </w:tcPr>
          <w:p>
            <w:pPr>
              <w:pStyle w:val="25"/>
              <w:jc w:val="center"/>
            </w:pPr>
            <w:r>
              <w:rPr>
                <w:rFonts w:hint="eastAsia"/>
              </w:rPr>
              <w:t>涉外工作组</w:t>
            </w:r>
          </w:p>
        </w:tc>
        <w:tc>
          <w:tcPr>
            <w:tcW w:w="1617" w:type="dxa"/>
            <w:vAlign w:val="center"/>
          </w:tcPr>
          <w:p>
            <w:pPr>
              <w:pStyle w:val="25"/>
              <w:jc w:val="center"/>
            </w:pPr>
            <w:r>
              <w:rPr>
                <w:rFonts w:hint="eastAsia"/>
              </w:rPr>
              <w:t>镇人民政府</w:t>
            </w:r>
          </w:p>
        </w:tc>
        <w:tc>
          <w:tcPr>
            <w:tcW w:w="2385"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镇党政综合办公室等部门组成。</w:t>
            </w:r>
          </w:p>
        </w:tc>
        <w:tc>
          <w:tcPr>
            <w:tcW w:w="8131"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负责按有关规定和程序做好涉外联络和接收境外救援物资。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69" w:type="dxa"/>
            <w:vAlign w:val="center"/>
          </w:tcPr>
          <w:p>
            <w:pPr>
              <w:pStyle w:val="25"/>
              <w:jc w:val="center"/>
            </w:pPr>
            <w:r>
              <w:t>10</w:t>
            </w:r>
          </w:p>
        </w:tc>
        <w:tc>
          <w:tcPr>
            <w:tcW w:w="1874" w:type="dxa"/>
            <w:vAlign w:val="center"/>
          </w:tcPr>
          <w:p>
            <w:pPr>
              <w:pStyle w:val="25"/>
              <w:jc w:val="center"/>
            </w:pPr>
            <w:r>
              <w:rPr>
                <w:rFonts w:hint="eastAsia"/>
              </w:rPr>
              <w:t>恢复重建组</w:t>
            </w:r>
          </w:p>
        </w:tc>
        <w:tc>
          <w:tcPr>
            <w:tcW w:w="1617" w:type="dxa"/>
            <w:vAlign w:val="center"/>
          </w:tcPr>
          <w:p>
            <w:pPr>
              <w:pStyle w:val="25"/>
              <w:jc w:val="center"/>
            </w:pPr>
            <w:r>
              <w:rPr>
                <w:rFonts w:hint="eastAsia"/>
              </w:rPr>
              <w:t>镇人民政府</w:t>
            </w:r>
          </w:p>
        </w:tc>
        <w:tc>
          <w:tcPr>
            <w:tcW w:w="2385"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镇党政综合办公室、镇社会事务办公室、镇平安建设办公室等单位组成。</w:t>
            </w:r>
          </w:p>
        </w:tc>
        <w:tc>
          <w:tcPr>
            <w:tcW w:w="8131" w:type="dxa"/>
            <w:vAlign w:val="center"/>
          </w:tcPr>
          <w:p>
            <w:pPr>
              <w:adjustRightInd/>
              <w:snapToGrid/>
              <w:spacing w:line="280" w:lineRule="exact"/>
              <w:ind w:firstLine="31680"/>
              <w:rPr>
                <w:rFonts w:ascii="宋体" w:cs="宋体"/>
                <w:sz w:val="21"/>
                <w:szCs w:val="21"/>
              </w:rPr>
            </w:pPr>
            <w:r>
              <w:rPr>
                <w:rFonts w:hint="eastAsia" w:ascii="宋体" w:hAnsi="宋体" w:cs="宋体"/>
                <w:sz w:val="21"/>
                <w:szCs w:val="21"/>
              </w:rPr>
              <w:t>负责公共建筑、住宅和临时安置点的地震应急评估，对灾区各类建筑的安全等级进行划分；负责制定恢复重建规划，指导灾区恢复生产；负责落实有关扶持资金、物资，指导协调灾后重建工作。</w:t>
            </w:r>
          </w:p>
        </w:tc>
      </w:tr>
    </w:tbl>
    <w:p>
      <w:pPr>
        <w:pStyle w:val="5"/>
        <w:spacing w:line="360" w:lineRule="auto"/>
        <w:ind w:left="0" w:right="0" w:firstLine="0" w:firstLineChars="0"/>
        <w:jc w:val="both"/>
        <w:rPr>
          <w:rFonts w:ascii="宋体" w:hAnsi="宋体" w:eastAsia="宋体" w:cs="宋体"/>
          <w:color w:val="000000"/>
          <w:sz w:val="28"/>
          <w:szCs w:val="28"/>
          <w:lang w:val="en-US"/>
        </w:rPr>
        <w:sectPr>
          <w:footerReference r:id="rId7" w:type="default"/>
          <w:pgSz w:w="16840" w:h="11910" w:orient="landscape"/>
          <w:pgMar w:top="1134" w:right="1134" w:bottom="1134" w:left="1134" w:header="0" w:footer="990" w:gutter="0"/>
          <w:pgNumType w:start="1"/>
          <w:cols w:space="720" w:num="1"/>
        </w:sectPr>
      </w:pPr>
    </w:p>
    <w:p>
      <w:pPr>
        <w:spacing w:line="240" w:lineRule="auto"/>
        <w:ind w:firstLine="0" w:firstLineChars="0"/>
        <w:outlineLvl w:val="2"/>
        <w:rPr>
          <w:rFonts w:ascii="宋体" w:cs="宋体"/>
          <w:color w:val="000000"/>
        </w:rPr>
      </w:pPr>
      <w:bookmarkStart w:id="97" w:name="_Toc16719"/>
      <w:bookmarkStart w:id="98" w:name="_GoBack"/>
      <w:r>
        <w:rPr>
          <w:rFonts w:hint="eastAsia" w:ascii="宋体" w:hAnsi="宋体" w:cs="宋体"/>
          <w:color w:val="000000"/>
        </w:rPr>
        <w:t>附件</w:t>
      </w:r>
      <w:r>
        <w:rPr>
          <w:rFonts w:ascii="宋体" w:hAnsi="宋体" w:cs="宋体"/>
          <w:color w:val="000000"/>
        </w:rPr>
        <w:t xml:space="preserve">3 </w:t>
      </w:r>
      <w:r>
        <w:rPr>
          <w:rFonts w:hint="eastAsia" w:ascii="宋体" w:hAnsi="宋体" w:cs="宋体"/>
          <w:color w:val="000000"/>
        </w:rPr>
        <w:t>各救援单位及政府有关部门联系方式</w:t>
      </w:r>
      <w:bookmarkEnd w:id="97"/>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1080"/>
        <w:gridCol w:w="2340"/>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rPr>
                <w:rFonts w:hint="eastAsia"/>
              </w:rPr>
              <w:t>序号</w:t>
            </w:r>
          </w:p>
        </w:tc>
        <w:tc>
          <w:tcPr>
            <w:tcW w:w="2880" w:type="dxa"/>
            <w:noWrap/>
            <w:vAlign w:val="center"/>
          </w:tcPr>
          <w:p>
            <w:pPr>
              <w:pStyle w:val="25"/>
              <w:jc w:val="center"/>
            </w:pPr>
            <w:r>
              <w:rPr>
                <w:rFonts w:hint="eastAsia"/>
              </w:rPr>
              <w:t>单位</w:t>
            </w:r>
          </w:p>
        </w:tc>
        <w:tc>
          <w:tcPr>
            <w:tcW w:w="1080" w:type="dxa"/>
            <w:noWrap/>
            <w:vAlign w:val="center"/>
          </w:tcPr>
          <w:p>
            <w:pPr>
              <w:pStyle w:val="25"/>
              <w:jc w:val="center"/>
            </w:pPr>
            <w:r>
              <w:rPr>
                <w:rFonts w:hint="eastAsia"/>
              </w:rPr>
              <w:t>姓名</w:t>
            </w:r>
          </w:p>
        </w:tc>
        <w:tc>
          <w:tcPr>
            <w:tcW w:w="2340" w:type="dxa"/>
            <w:noWrap/>
            <w:vAlign w:val="center"/>
          </w:tcPr>
          <w:p>
            <w:pPr>
              <w:pStyle w:val="25"/>
              <w:jc w:val="center"/>
            </w:pPr>
            <w:r>
              <w:rPr>
                <w:rFonts w:hint="eastAsia"/>
              </w:rPr>
              <w:t>职务</w:t>
            </w:r>
          </w:p>
        </w:tc>
        <w:tc>
          <w:tcPr>
            <w:tcW w:w="2172" w:type="dxa"/>
            <w:noWrap/>
            <w:vAlign w:val="center"/>
          </w:tcPr>
          <w:p>
            <w:pPr>
              <w:pStyle w:val="25"/>
              <w:jc w:val="center"/>
            </w:pPr>
            <w:r>
              <w:rPr>
                <w:rFonts w:hint="eastAsi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restart"/>
            <w:vAlign w:val="center"/>
          </w:tcPr>
          <w:p>
            <w:pPr>
              <w:pStyle w:val="25"/>
              <w:jc w:val="center"/>
            </w:pPr>
            <w:r>
              <w:t>1</w:t>
            </w:r>
          </w:p>
        </w:tc>
        <w:tc>
          <w:tcPr>
            <w:tcW w:w="2880" w:type="dxa"/>
            <w:vMerge w:val="restart"/>
            <w:noWrap/>
            <w:vAlign w:val="center"/>
          </w:tcPr>
          <w:p>
            <w:pPr>
              <w:pStyle w:val="25"/>
              <w:jc w:val="center"/>
            </w:pPr>
            <w:r>
              <w:rPr>
                <w:rFonts w:hint="eastAsia"/>
              </w:rPr>
              <w:t>镇党委、镇人民政府</w:t>
            </w:r>
          </w:p>
        </w:tc>
        <w:tc>
          <w:tcPr>
            <w:tcW w:w="1080" w:type="dxa"/>
            <w:noWrap/>
            <w:vAlign w:val="center"/>
          </w:tcPr>
          <w:p>
            <w:pPr>
              <w:widowControl/>
              <w:adjustRightInd/>
              <w:snapToGrid/>
              <w:ind w:firstLine="0" w:firstLineChars="0"/>
              <w:jc w:val="center"/>
              <w:textAlignment w:val="center"/>
            </w:pPr>
            <w:r>
              <w:rPr>
                <w:rFonts w:hint="eastAsia"/>
              </w:rPr>
              <w:t>杨成华</w:t>
            </w:r>
          </w:p>
        </w:tc>
        <w:tc>
          <w:tcPr>
            <w:tcW w:w="2340" w:type="dxa"/>
            <w:noWrap/>
            <w:vAlign w:val="center"/>
          </w:tcPr>
          <w:p>
            <w:pPr>
              <w:widowControl/>
              <w:adjustRightInd/>
              <w:snapToGrid/>
              <w:ind w:firstLine="280" w:firstLineChars="100"/>
              <w:textAlignment w:val="center"/>
            </w:pPr>
            <w:r>
              <w:rPr>
                <w:rFonts w:hint="eastAsia"/>
              </w:rPr>
              <w:t>镇党委书记</w:t>
            </w:r>
          </w:p>
        </w:tc>
        <w:tc>
          <w:tcPr>
            <w:tcW w:w="2172" w:type="dxa"/>
            <w:noWrap/>
            <w:vAlign w:val="center"/>
          </w:tcPr>
          <w:p>
            <w:pPr>
              <w:widowControl/>
              <w:adjustRightInd/>
              <w:snapToGrid/>
              <w:ind w:firstLine="0" w:firstLineChars="0"/>
              <w:jc w:val="center"/>
              <w:textAlignment w:val="center"/>
            </w:pPr>
            <w:r>
              <w:t>13789439756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8" w:type="dxa"/>
            <w:vMerge w:val="continue"/>
            <w:vAlign w:val="center"/>
          </w:tcPr>
          <w:p>
            <w:pPr>
              <w:pStyle w:val="25"/>
              <w:jc w:val="center"/>
            </w:pPr>
          </w:p>
        </w:tc>
        <w:tc>
          <w:tcPr>
            <w:tcW w:w="2880" w:type="dxa"/>
            <w:vMerge w:val="continue"/>
            <w:noWrap/>
            <w:vAlign w:val="center"/>
          </w:tcPr>
          <w:p>
            <w:pPr>
              <w:pStyle w:val="25"/>
              <w:jc w:val="center"/>
            </w:pPr>
          </w:p>
        </w:tc>
        <w:tc>
          <w:tcPr>
            <w:tcW w:w="1080" w:type="dxa"/>
            <w:noWrap/>
            <w:vAlign w:val="center"/>
          </w:tcPr>
          <w:p>
            <w:pPr>
              <w:widowControl/>
              <w:adjustRightInd/>
              <w:snapToGrid/>
              <w:ind w:firstLine="0" w:firstLineChars="0"/>
              <w:jc w:val="center"/>
              <w:textAlignment w:val="center"/>
            </w:pPr>
            <w:r>
              <w:rPr>
                <w:rFonts w:hint="eastAsia"/>
              </w:rPr>
              <w:t>刘艳青</w:t>
            </w:r>
          </w:p>
        </w:tc>
        <w:tc>
          <w:tcPr>
            <w:tcW w:w="2340" w:type="dxa"/>
            <w:noWrap/>
            <w:vAlign w:val="center"/>
          </w:tcPr>
          <w:p>
            <w:pPr>
              <w:widowControl/>
              <w:adjustRightInd/>
              <w:snapToGrid/>
              <w:ind w:firstLine="0" w:firstLineChars="0"/>
              <w:jc w:val="center"/>
              <w:textAlignment w:val="center"/>
            </w:pPr>
            <w:r>
              <w:rPr>
                <w:rFonts w:hint="eastAsia"/>
              </w:rPr>
              <w:t>镇政府镇长</w:t>
            </w:r>
          </w:p>
        </w:tc>
        <w:tc>
          <w:tcPr>
            <w:tcW w:w="2172" w:type="dxa"/>
            <w:noWrap/>
            <w:vAlign w:val="center"/>
          </w:tcPr>
          <w:p>
            <w:pPr>
              <w:widowControl/>
              <w:adjustRightInd/>
              <w:snapToGrid/>
              <w:ind w:firstLine="0" w:firstLineChars="0"/>
              <w:jc w:val="center"/>
              <w:textAlignment w:val="center"/>
            </w:pPr>
            <w:r>
              <w:t>15924460282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8" w:type="dxa"/>
            <w:vMerge w:val="continue"/>
            <w:vAlign w:val="center"/>
          </w:tcPr>
          <w:p>
            <w:pPr>
              <w:pStyle w:val="25"/>
              <w:jc w:val="center"/>
            </w:pPr>
          </w:p>
        </w:tc>
        <w:tc>
          <w:tcPr>
            <w:tcW w:w="2880" w:type="dxa"/>
            <w:vMerge w:val="continue"/>
            <w:noWrap/>
            <w:vAlign w:val="center"/>
          </w:tcPr>
          <w:p>
            <w:pPr>
              <w:pStyle w:val="25"/>
              <w:jc w:val="center"/>
            </w:pPr>
          </w:p>
        </w:tc>
        <w:tc>
          <w:tcPr>
            <w:tcW w:w="1080" w:type="dxa"/>
            <w:noWrap/>
            <w:vAlign w:val="center"/>
          </w:tcPr>
          <w:p>
            <w:pPr>
              <w:widowControl/>
              <w:adjustRightInd/>
              <w:snapToGrid/>
              <w:ind w:firstLine="0" w:firstLineChars="0"/>
              <w:jc w:val="center"/>
              <w:textAlignment w:val="center"/>
            </w:pPr>
            <w:r>
              <w:rPr>
                <w:rFonts w:hint="eastAsia"/>
              </w:rPr>
              <w:t>王海平</w:t>
            </w:r>
          </w:p>
        </w:tc>
        <w:tc>
          <w:tcPr>
            <w:tcW w:w="2340" w:type="dxa"/>
            <w:noWrap/>
            <w:vAlign w:val="center"/>
          </w:tcPr>
          <w:p>
            <w:pPr>
              <w:widowControl/>
              <w:adjustRightInd/>
              <w:snapToGrid/>
              <w:ind w:firstLine="0" w:firstLineChars="0"/>
              <w:jc w:val="center"/>
              <w:textAlignment w:val="center"/>
            </w:pPr>
            <w:r>
              <w:rPr>
                <w:rFonts w:hint="eastAsia"/>
              </w:rPr>
              <w:t>镇人大主席</w:t>
            </w:r>
          </w:p>
        </w:tc>
        <w:tc>
          <w:tcPr>
            <w:tcW w:w="2172" w:type="dxa"/>
            <w:noWrap/>
            <w:vAlign w:val="center"/>
          </w:tcPr>
          <w:p>
            <w:pPr>
              <w:widowControl/>
              <w:adjustRightInd/>
              <w:snapToGrid/>
              <w:ind w:firstLine="0" w:firstLineChars="0"/>
              <w:jc w:val="center"/>
              <w:textAlignment w:val="center"/>
            </w:pPr>
            <w:r>
              <w:t>18804761800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25"/>
              <w:jc w:val="center"/>
            </w:pPr>
          </w:p>
        </w:tc>
        <w:tc>
          <w:tcPr>
            <w:tcW w:w="2880" w:type="dxa"/>
            <w:vMerge w:val="continue"/>
            <w:noWrap/>
            <w:vAlign w:val="center"/>
          </w:tcPr>
          <w:p>
            <w:pPr>
              <w:pStyle w:val="25"/>
              <w:jc w:val="center"/>
            </w:pPr>
          </w:p>
        </w:tc>
        <w:tc>
          <w:tcPr>
            <w:tcW w:w="1080" w:type="dxa"/>
            <w:noWrap/>
            <w:vAlign w:val="center"/>
          </w:tcPr>
          <w:p>
            <w:pPr>
              <w:widowControl/>
              <w:adjustRightInd/>
              <w:snapToGrid/>
              <w:ind w:firstLine="0" w:firstLineChars="0"/>
              <w:jc w:val="center"/>
              <w:textAlignment w:val="center"/>
            </w:pPr>
            <w:r>
              <w:rPr>
                <w:rFonts w:hint="eastAsia"/>
              </w:rPr>
              <w:t>孙跃波</w:t>
            </w:r>
          </w:p>
        </w:tc>
        <w:tc>
          <w:tcPr>
            <w:tcW w:w="2340" w:type="dxa"/>
            <w:noWrap/>
            <w:vAlign w:val="center"/>
          </w:tcPr>
          <w:p>
            <w:pPr>
              <w:widowControl/>
              <w:adjustRightInd/>
              <w:snapToGrid/>
              <w:ind w:firstLine="0" w:firstLineChars="0"/>
              <w:jc w:val="center"/>
              <w:textAlignment w:val="center"/>
            </w:pPr>
            <w:r>
              <w:rPr>
                <w:rFonts w:hint="eastAsia"/>
              </w:rPr>
              <w:t>镇党委副书记</w:t>
            </w:r>
          </w:p>
        </w:tc>
        <w:tc>
          <w:tcPr>
            <w:tcW w:w="2172" w:type="dxa"/>
            <w:noWrap/>
            <w:vAlign w:val="center"/>
          </w:tcPr>
          <w:p>
            <w:pPr>
              <w:widowControl/>
              <w:adjustRightInd/>
              <w:snapToGrid/>
              <w:ind w:firstLine="0" w:firstLineChars="0"/>
              <w:jc w:val="center"/>
              <w:textAlignment w:val="center"/>
            </w:pPr>
            <w:r>
              <w:t>15849963858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25"/>
              <w:jc w:val="center"/>
            </w:pPr>
          </w:p>
        </w:tc>
        <w:tc>
          <w:tcPr>
            <w:tcW w:w="2880" w:type="dxa"/>
            <w:vMerge w:val="continue"/>
            <w:noWrap/>
            <w:vAlign w:val="center"/>
          </w:tcPr>
          <w:p>
            <w:pPr>
              <w:pStyle w:val="25"/>
              <w:jc w:val="center"/>
            </w:pPr>
          </w:p>
        </w:tc>
        <w:tc>
          <w:tcPr>
            <w:tcW w:w="1080" w:type="dxa"/>
            <w:noWrap/>
            <w:vAlign w:val="center"/>
          </w:tcPr>
          <w:p>
            <w:pPr>
              <w:widowControl/>
              <w:adjustRightInd/>
              <w:snapToGrid/>
              <w:ind w:firstLine="0" w:firstLineChars="0"/>
              <w:jc w:val="center"/>
              <w:textAlignment w:val="center"/>
            </w:pPr>
            <w:r>
              <w:rPr>
                <w:rFonts w:hint="eastAsia"/>
              </w:rPr>
              <w:t>杨</w:t>
            </w:r>
            <w:r>
              <w:t xml:space="preserve">  </w:t>
            </w:r>
            <w:r>
              <w:rPr>
                <w:rFonts w:hint="eastAsia"/>
              </w:rPr>
              <w:t>波</w:t>
            </w:r>
          </w:p>
        </w:tc>
        <w:tc>
          <w:tcPr>
            <w:tcW w:w="2340" w:type="dxa"/>
            <w:noWrap/>
            <w:vAlign w:val="center"/>
          </w:tcPr>
          <w:p>
            <w:pPr>
              <w:widowControl/>
              <w:adjustRightInd/>
              <w:snapToGrid/>
              <w:ind w:firstLine="0" w:firstLineChars="0"/>
              <w:jc w:val="center"/>
              <w:textAlignment w:val="center"/>
            </w:pPr>
            <w:r>
              <w:rPr>
                <w:rFonts w:hint="eastAsia"/>
              </w:rPr>
              <w:t>镇纪委书记</w:t>
            </w:r>
          </w:p>
        </w:tc>
        <w:tc>
          <w:tcPr>
            <w:tcW w:w="2172" w:type="dxa"/>
            <w:noWrap/>
            <w:vAlign w:val="center"/>
          </w:tcPr>
          <w:p>
            <w:pPr>
              <w:widowControl/>
              <w:adjustRightInd/>
              <w:snapToGrid/>
              <w:ind w:firstLine="0" w:firstLineChars="0"/>
              <w:jc w:val="center"/>
              <w:textAlignment w:val="center"/>
            </w:pPr>
            <w:r>
              <w:t>15647620205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25"/>
              <w:jc w:val="center"/>
            </w:pPr>
          </w:p>
        </w:tc>
        <w:tc>
          <w:tcPr>
            <w:tcW w:w="2880" w:type="dxa"/>
            <w:vMerge w:val="continue"/>
            <w:noWrap/>
            <w:vAlign w:val="center"/>
          </w:tcPr>
          <w:p>
            <w:pPr>
              <w:pStyle w:val="25"/>
              <w:jc w:val="center"/>
            </w:pPr>
          </w:p>
        </w:tc>
        <w:tc>
          <w:tcPr>
            <w:tcW w:w="1080" w:type="dxa"/>
            <w:noWrap/>
            <w:vAlign w:val="center"/>
          </w:tcPr>
          <w:p>
            <w:pPr>
              <w:widowControl/>
              <w:adjustRightInd/>
              <w:snapToGrid/>
              <w:ind w:firstLine="0" w:firstLineChars="0"/>
              <w:jc w:val="center"/>
              <w:textAlignment w:val="center"/>
            </w:pPr>
            <w:r>
              <w:rPr>
                <w:rFonts w:hint="eastAsia"/>
              </w:rPr>
              <w:t>张</w:t>
            </w:r>
            <w:r>
              <w:t xml:space="preserve">  </w:t>
            </w:r>
            <w:r>
              <w:rPr>
                <w:rFonts w:hint="eastAsia"/>
              </w:rPr>
              <w:t>旭</w:t>
            </w:r>
          </w:p>
        </w:tc>
        <w:tc>
          <w:tcPr>
            <w:tcW w:w="2340" w:type="dxa"/>
            <w:noWrap/>
            <w:vAlign w:val="center"/>
          </w:tcPr>
          <w:p>
            <w:pPr>
              <w:widowControl/>
              <w:adjustRightInd/>
              <w:snapToGrid/>
              <w:ind w:firstLine="0" w:firstLineChars="0"/>
              <w:jc w:val="center"/>
              <w:textAlignment w:val="center"/>
            </w:pPr>
            <w:r>
              <w:rPr>
                <w:rFonts w:hint="eastAsia"/>
              </w:rPr>
              <w:t>镇党委组织委员</w:t>
            </w:r>
          </w:p>
        </w:tc>
        <w:tc>
          <w:tcPr>
            <w:tcW w:w="2172" w:type="dxa"/>
            <w:noWrap/>
            <w:vAlign w:val="center"/>
          </w:tcPr>
          <w:p>
            <w:pPr>
              <w:widowControl/>
              <w:adjustRightInd/>
              <w:snapToGrid/>
              <w:ind w:firstLine="0" w:firstLineChars="0"/>
              <w:jc w:val="center"/>
              <w:textAlignment w:val="center"/>
            </w:pPr>
            <w:r>
              <w:t>15847057195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25"/>
              <w:jc w:val="center"/>
            </w:pPr>
          </w:p>
        </w:tc>
        <w:tc>
          <w:tcPr>
            <w:tcW w:w="2880" w:type="dxa"/>
            <w:vMerge w:val="continue"/>
            <w:noWrap/>
            <w:vAlign w:val="center"/>
          </w:tcPr>
          <w:p>
            <w:pPr>
              <w:pStyle w:val="25"/>
              <w:jc w:val="center"/>
            </w:pPr>
          </w:p>
        </w:tc>
        <w:tc>
          <w:tcPr>
            <w:tcW w:w="1080" w:type="dxa"/>
            <w:noWrap/>
            <w:vAlign w:val="center"/>
          </w:tcPr>
          <w:p>
            <w:pPr>
              <w:widowControl/>
              <w:adjustRightInd/>
              <w:snapToGrid/>
              <w:ind w:firstLine="0" w:firstLineChars="0"/>
              <w:jc w:val="center"/>
              <w:textAlignment w:val="center"/>
            </w:pPr>
            <w:r>
              <w:rPr>
                <w:rFonts w:hint="eastAsia"/>
              </w:rPr>
              <w:t>徐向丽</w:t>
            </w:r>
          </w:p>
        </w:tc>
        <w:tc>
          <w:tcPr>
            <w:tcW w:w="2340" w:type="dxa"/>
            <w:noWrap/>
            <w:vAlign w:val="center"/>
          </w:tcPr>
          <w:p>
            <w:pPr>
              <w:widowControl/>
              <w:adjustRightInd/>
              <w:snapToGrid/>
              <w:ind w:firstLine="0" w:firstLineChars="0"/>
              <w:jc w:val="center"/>
              <w:textAlignment w:val="center"/>
            </w:pPr>
            <w:r>
              <w:rPr>
                <w:rFonts w:hint="eastAsia"/>
              </w:rPr>
              <w:t>镇党委宣传委员</w:t>
            </w:r>
          </w:p>
        </w:tc>
        <w:tc>
          <w:tcPr>
            <w:tcW w:w="2172" w:type="dxa"/>
            <w:noWrap/>
            <w:vAlign w:val="center"/>
          </w:tcPr>
          <w:p>
            <w:pPr>
              <w:widowControl/>
              <w:adjustRightInd/>
              <w:snapToGrid/>
              <w:ind w:firstLine="0" w:firstLineChars="0"/>
              <w:jc w:val="center"/>
              <w:textAlignment w:val="center"/>
            </w:pPr>
            <w:r>
              <w:t>13754163909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25"/>
              <w:jc w:val="center"/>
            </w:pPr>
          </w:p>
        </w:tc>
        <w:tc>
          <w:tcPr>
            <w:tcW w:w="2880" w:type="dxa"/>
            <w:vMerge w:val="continue"/>
            <w:noWrap/>
            <w:vAlign w:val="center"/>
          </w:tcPr>
          <w:p>
            <w:pPr>
              <w:pStyle w:val="25"/>
              <w:jc w:val="center"/>
            </w:pPr>
          </w:p>
        </w:tc>
        <w:tc>
          <w:tcPr>
            <w:tcW w:w="1080" w:type="dxa"/>
            <w:noWrap/>
            <w:vAlign w:val="center"/>
          </w:tcPr>
          <w:p>
            <w:pPr>
              <w:widowControl/>
              <w:adjustRightInd/>
              <w:snapToGrid/>
              <w:ind w:firstLine="0" w:firstLineChars="0"/>
              <w:jc w:val="center"/>
              <w:textAlignment w:val="center"/>
            </w:pPr>
            <w:r>
              <w:rPr>
                <w:rFonts w:hint="eastAsia"/>
              </w:rPr>
              <w:t>张昌健</w:t>
            </w:r>
          </w:p>
        </w:tc>
        <w:tc>
          <w:tcPr>
            <w:tcW w:w="2340" w:type="dxa"/>
            <w:noWrap/>
            <w:vAlign w:val="center"/>
          </w:tcPr>
          <w:p>
            <w:pPr>
              <w:widowControl/>
              <w:adjustRightInd/>
              <w:snapToGrid/>
              <w:ind w:firstLine="0" w:firstLineChars="0"/>
              <w:jc w:val="center"/>
              <w:textAlignment w:val="center"/>
            </w:pPr>
            <w:r>
              <w:rPr>
                <w:rFonts w:hint="eastAsia"/>
              </w:rPr>
              <w:t>镇政府副镇长</w:t>
            </w:r>
          </w:p>
        </w:tc>
        <w:tc>
          <w:tcPr>
            <w:tcW w:w="2172" w:type="dxa"/>
            <w:noWrap/>
            <w:vAlign w:val="center"/>
          </w:tcPr>
          <w:p>
            <w:pPr>
              <w:widowControl/>
              <w:adjustRightInd/>
              <w:snapToGrid/>
              <w:ind w:firstLine="0" w:firstLineChars="0"/>
              <w:jc w:val="center"/>
              <w:textAlignment w:val="center"/>
            </w:pPr>
            <w:r>
              <w:t>18748081572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25"/>
              <w:jc w:val="center"/>
            </w:pPr>
          </w:p>
        </w:tc>
        <w:tc>
          <w:tcPr>
            <w:tcW w:w="2880" w:type="dxa"/>
            <w:vMerge w:val="continue"/>
            <w:noWrap/>
            <w:vAlign w:val="center"/>
          </w:tcPr>
          <w:p>
            <w:pPr>
              <w:pStyle w:val="25"/>
              <w:jc w:val="center"/>
            </w:pPr>
          </w:p>
        </w:tc>
        <w:tc>
          <w:tcPr>
            <w:tcW w:w="1080" w:type="dxa"/>
            <w:noWrap/>
            <w:vAlign w:val="center"/>
          </w:tcPr>
          <w:p>
            <w:pPr>
              <w:widowControl/>
              <w:adjustRightInd/>
              <w:snapToGrid/>
              <w:ind w:firstLine="0" w:firstLineChars="0"/>
              <w:jc w:val="center"/>
              <w:textAlignment w:val="center"/>
            </w:pPr>
            <w:r>
              <w:rPr>
                <w:rFonts w:hint="eastAsia"/>
              </w:rPr>
              <w:t>徐</w:t>
            </w:r>
            <w:r>
              <w:t xml:space="preserve">  </w:t>
            </w:r>
            <w:r>
              <w:rPr>
                <w:rFonts w:hint="eastAsia"/>
              </w:rPr>
              <w:t>东</w:t>
            </w:r>
          </w:p>
        </w:tc>
        <w:tc>
          <w:tcPr>
            <w:tcW w:w="2340" w:type="dxa"/>
            <w:noWrap/>
            <w:vAlign w:val="center"/>
          </w:tcPr>
          <w:p>
            <w:pPr>
              <w:widowControl/>
              <w:adjustRightInd/>
              <w:snapToGrid/>
              <w:ind w:firstLine="0" w:firstLineChars="0"/>
              <w:jc w:val="center"/>
              <w:textAlignment w:val="center"/>
            </w:pPr>
            <w:r>
              <w:rPr>
                <w:rFonts w:hint="eastAsia"/>
              </w:rPr>
              <w:t>镇政府副镇长</w:t>
            </w:r>
          </w:p>
        </w:tc>
        <w:tc>
          <w:tcPr>
            <w:tcW w:w="2172" w:type="dxa"/>
            <w:noWrap/>
            <w:vAlign w:val="center"/>
          </w:tcPr>
          <w:p>
            <w:pPr>
              <w:widowControl/>
              <w:adjustRightInd/>
              <w:snapToGrid/>
              <w:ind w:firstLine="0" w:firstLineChars="0"/>
              <w:jc w:val="center"/>
              <w:textAlignment w:val="center"/>
            </w:pPr>
            <w:r>
              <w:t>15048606030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25"/>
              <w:jc w:val="center"/>
            </w:pPr>
          </w:p>
        </w:tc>
        <w:tc>
          <w:tcPr>
            <w:tcW w:w="2880" w:type="dxa"/>
            <w:vMerge w:val="continue"/>
            <w:noWrap/>
            <w:vAlign w:val="center"/>
          </w:tcPr>
          <w:p>
            <w:pPr>
              <w:pStyle w:val="25"/>
              <w:jc w:val="center"/>
            </w:pPr>
          </w:p>
        </w:tc>
        <w:tc>
          <w:tcPr>
            <w:tcW w:w="1080" w:type="dxa"/>
            <w:noWrap/>
            <w:vAlign w:val="center"/>
          </w:tcPr>
          <w:p>
            <w:pPr>
              <w:widowControl/>
              <w:adjustRightInd/>
              <w:snapToGrid/>
              <w:ind w:firstLine="0" w:firstLineChars="0"/>
              <w:jc w:val="center"/>
              <w:textAlignment w:val="center"/>
            </w:pPr>
            <w:r>
              <w:rPr>
                <w:rFonts w:hint="eastAsia"/>
              </w:rPr>
              <w:t>谷文强</w:t>
            </w:r>
          </w:p>
        </w:tc>
        <w:tc>
          <w:tcPr>
            <w:tcW w:w="2340" w:type="dxa"/>
            <w:noWrap/>
            <w:vAlign w:val="center"/>
          </w:tcPr>
          <w:p>
            <w:pPr>
              <w:widowControl/>
              <w:adjustRightInd/>
              <w:snapToGrid/>
              <w:ind w:firstLine="0" w:firstLineChars="0"/>
              <w:jc w:val="center"/>
              <w:textAlignment w:val="center"/>
            </w:pPr>
            <w:r>
              <w:rPr>
                <w:rFonts w:hint="eastAsia"/>
              </w:rPr>
              <w:t>镇政府副镇长</w:t>
            </w:r>
          </w:p>
        </w:tc>
        <w:tc>
          <w:tcPr>
            <w:tcW w:w="2172" w:type="dxa"/>
            <w:noWrap/>
            <w:vAlign w:val="center"/>
          </w:tcPr>
          <w:p>
            <w:pPr>
              <w:widowControl/>
              <w:adjustRightInd/>
              <w:snapToGrid/>
              <w:ind w:firstLine="0" w:firstLineChars="0"/>
              <w:jc w:val="center"/>
              <w:textAlignment w:val="center"/>
            </w:pPr>
            <w:r>
              <w:t>15847390652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vAlign w:val="center"/>
          </w:tcPr>
          <w:p>
            <w:pPr>
              <w:pStyle w:val="25"/>
              <w:jc w:val="center"/>
            </w:pPr>
          </w:p>
        </w:tc>
        <w:tc>
          <w:tcPr>
            <w:tcW w:w="2880" w:type="dxa"/>
            <w:vMerge w:val="continue"/>
            <w:noWrap/>
            <w:vAlign w:val="center"/>
          </w:tcPr>
          <w:p>
            <w:pPr>
              <w:pStyle w:val="25"/>
              <w:jc w:val="center"/>
            </w:pPr>
          </w:p>
        </w:tc>
        <w:tc>
          <w:tcPr>
            <w:tcW w:w="1080" w:type="dxa"/>
            <w:noWrap/>
            <w:vAlign w:val="center"/>
          </w:tcPr>
          <w:p>
            <w:pPr>
              <w:widowControl/>
              <w:adjustRightInd/>
              <w:snapToGrid/>
              <w:ind w:firstLine="0" w:firstLineChars="0"/>
              <w:jc w:val="center"/>
              <w:textAlignment w:val="center"/>
            </w:pPr>
            <w:r>
              <w:rPr>
                <w:rFonts w:hint="eastAsia"/>
              </w:rPr>
              <w:t>侯小东</w:t>
            </w:r>
          </w:p>
        </w:tc>
        <w:tc>
          <w:tcPr>
            <w:tcW w:w="2340" w:type="dxa"/>
            <w:noWrap/>
            <w:vAlign w:val="center"/>
          </w:tcPr>
          <w:p>
            <w:pPr>
              <w:widowControl/>
              <w:adjustRightInd/>
              <w:snapToGrid/>
              <w:ind w:firstLine="0" w:firstLineChars="0"/>
              <w:jc w:val="center"/>
              <w:textAlignment w:val="center"/>
            </w:pPr>
            <w:r>
              <w:rPr>
                <w:rFonts w:hint="eastAsia"/>
              </w:rPr>
              <w:t>镇政府副镇长</w:t>
            </w:r>
          </w:p>
        </w:tc>
        <w:tc>
          <w:tcPr>
            <w:tcW w:w="2172" w:type="dxa"/>
            <w:noWrap/>
            <w:vAlign w:val="center"/>
          </w:tcPr>
          <w:p>
            <w:pPr>
              <w:widowControl/>
              <w:adjustRightInd/>
              <w:snapToGrid/>
              <w:ind w:firstLine="0" w:firstLineChars="0"/>
              <w:jc w:val="center"/>
              <w:textAlignment w:val="center"/>
            </w:pPr>
            <w:r>
              <w:t>15048387123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2</w:t>
            </w:r>
          </w:p>
        </w:tc>
        <w:tc>
          <w:tcPr>
            <w:tcW w:w="2880" w:type="dxa"/>
            <w:vAlign w:val="center"/>
          </w:tcPr>
          <w:p>
            <w:pPr>
              <w:pStyle w:val="25"/>
              <w:jc w:val="center"/>
            </w:pPr>
            <w:r>
              <w:rPr>
                <w:rFonts w:hint="eastAsia"/>
              </w:rPr>
              <w:t>镇人民武装部</w:t>
            </w:r>
          </w:p>
        </w:tc>
        <w:tc>
          <w:tcPr>
            <w:tcW w:w="1080" w:type="dxa"/>
            <w:noWrap/>
            <w:vAlign w:val="center"/>
          </w:tcPr>
          <w:p>
            <w:pPr>
              <w:widowControl/>
              <w:adjustRightInd/>
              <w:snapToGrid/>
              <w:ind w:firstLine="0" w:firstLineChars="0"/>
              <w:jc w:val="center"/>
              <w:textAlignment w:val="center"/>
            </w:pPr>
            <w:r>
              <w:rPr>
                <w:rFonts w:hint="eastAsia"/>
              </w:rPr>
              <w:t>徐</w:t>
            </w:r>
            <w:r>
              <w:t xml:space="preserve"> </w:t>
            </w:r>
            <w:r>
              <w:rPr>
                <w:rFonts w:hint="eastAsia"/>
              </w:rPr>
              <w:t>东</w:t>
            </w:r>
          </w:p>
        </w:tc>
        <w:tc>
          <w:tcPr>
            <w:tcW w:w="2340" w:type="dxa"/>
            <w:noWrap/>
            <w:vAlign w:val="center"/>
          </w:tcPr>
          <w:p>
            <w:pPr>
              <w:widowControl/>
              <w:adjustRightInd/>
              <w:snapToGrid/>
              <w:ind w:firstLine="0" w:firstLineChars="0"/>
              <w:jc w:val="center"/>
              <w:textAlignment w:val="center"/>
            </w:pPr>
            <w:r>
              <w:rPr>
                <w:rFonts w:hint="eastAsia"/>
              </w:rPr>
              <w:t>部长</w:t>
            </w:r>
          </w:p>
        </w:tc>
        <w:tc>
          <w:tcPr>
            <w:tcW w:w="2172" w:type="dxa"/>
            <w:noWrap/>
            <w:vAlign w:val="center"/>
          </w:tcPr>
          <w:p>
            <w:pPr>
              <w:widowControl/>
              <w:adjustRightInd/>
              <w:snapToGrid/>
              <w:ind w:firstLine="0" w:firstLineChars="0"/>
              <w:jc w:val="center"/>
              <w:textAlignment w:val="center"/>
            </w:pPr>
            <w:r>
              <w:t>15048606030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3</w:t>
            </w:r>
          </w:p>
        </w:tc>
        <w:tc>
          <w:tcPr>
            <w:tcW w:w="2880" w:type="dxa"/>
            <w:vAlign w:val="center"/>
          </w:tcPr>
          <w:p>
            <w:pPr>
              <w:pStyle w:val="25"/>
              <w:jc w:val="center"/>
            </w:pPr>
            <w:r>
              <w:rPr>
                <w:rFonts w:hint="eastAsia"/>
              </w:rPr>
              <w:t>镇党政综合办公室</w:t>
            </w:r>
          </w:p>
        </w:tc>
        <w:tc>
          <w:tcPr>
            <w:tcW w:w="1080" w:type="dxa"/>
            <w:noWrap/>
            <w:vAlign w:val="center"/>
          </w:tcPr>
          <w:p>
            <w:pPr>
              <w:widowControl/>
              <w:ind w:firstLine="0" w:firstLineChars="0"/>
              <w:jc w:val="center"/>
            </w:pPr>
            <w:r>
              <w:rPr>
                <w:rFonts w:hint="eastAsia"/>
              </w:rPr>
              <w:t>王志刚</w:t>
            </w:r>
          </w:p>
        </w:tc>
        <w:tc>
          <w:tcPr>
            <w:tcW w:w="2340" w:type="dxa"/>
            <w:noWrap/>
            <w:vAlign w:val="center"/>
          </w:tcPr>
          <w:p>
            <w:pPr>
              <w:widowControl/>
              <w:ind w:firstLine="0" w:firstLineChars="0"/>
              <w:jc w:val="center"/>
            </w:pPr>
            <w:r>
              <w:rPr>
                <w:rFonts w:hint="eastAsia"/>
              </w:rPr>
              <w:t>主任</w:t>
            </w:r>
          </w:p>
        </w:tc>
        <w:tc>
          <w:tcPr>
            <w:tcW w:w="2172" w:type="dxa"/>
            <w:noWrap/>
            <w:vAlign w:val="center"/>
          </w:tcPr>
          <w:p>
            <w:pPr>
              <w:widowControl/>
              <w:ind w:firstLine="0" w:firstLineChars="0"/>
              <w:jc w:val="center"/>
            </w:pPr>
            <w:r>
              <w:t>13848461065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4</w:t>
            </w:r>
          </w:p>
        </w:tc>
        <w:tc>
          <w:tcPr>
            <w:tcW w:w="2880" w:type="dxa"/>
            <w:noWrap/>
            <w:vAlign w:val="center"/>
          </w:tcPr>
          <w:p>
            <w:pPr>
              <w:pStyle w:val="25"/>
              <w:jc w:val="center"/>
            </w:pPr>
            <w:r>
              <w:rPr>
                <w:rFonts w:hint="eastAsia"/>
              </w:rPr>
              <w:t>镇基层党的建设办公室</w:t>
            </w:r>
          </w:p>
        </w:tc>
        <w:tc>
          <w:tcPr>
            <w:tcW w:w="1080" w:type="dxa"/>
            <w:noWrap/>
            <w:vAlign w:val="center"/>
          </w:tcPr>
          <w:p>
            <w:pPr>
              <w:widowControl/>
              <w:ind w:firstLine="0" w:firstLineChars="0"/>
              <w:jc w:val="center"/>
            </w:pPr>
            <w:r>
              <w:rPr>
                <w:rFonts w:hint="eastAsia"/>
              </w:rPr>
              <w:t>孙珊珊</w:t>
            </w:r>
          </w:p>
        </w:tc>
        <w:tc>
          <w:tcPr>
            <w:tcW w:w="2340" w:type="dxa"/>
            <w:noWrap/>
            <w:vAlign w:val="center"/>
          </w:tcPr>
          <w:p>
            <w:pPr>
              <w:widowControl/>
              <w:ind w:firstLine="0" w:firstLineChars="0"/>
              <w:jc w:val="center"/>
            </w:pPr>
            <w:r>
              <w:rPr>
                <w:rFonts w:hint="eastAsia"/>
              </w:rPr>
              <w:t>主任</w:t>
            </w:r>
          </w:p>
        </w:tc>
        <w:tc>
          <w:tcPr>
            <w:tcW w:w="2172" w:type="dxa"/>
            <w:noWrap/>
            <w:vAlign w:val="center"/>
          </w:tcPr>
          <w:p>
            <w:pPr>
              <w:widowControl/>
              <w:ind w:firstLine="0" w:firstLineChars="0"/>
              <w:jc w:val="center"/>
            </w:pPr>
            <w:r>
              <w:t>15047659817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5</w:t>
            </w:r>
          </w:p>
        </w:tc>
        <w:tc>
          <w:tcPr>
            <w:tcW w:w="2880" w:type="dxa"/>
            <w:noWrap/>
            <w:vAlign w:val="center"/>
          </w:tcPr>
          <w:p>
            <w:pPr>
              <w:pStyle w:val="25"/>
              <w:jc w:val="center"/>
            </w:pPr>
            <w:r>
              <w:rPr>
                <w:rFonts w:hint="eastAsia"/>
              </w:rPr>
              <w:t>镇乡村振兴办公室</w:t>
            </w:r>
          </w:p>
        </w:tc>
        <w:tc>
          <w:tcPr>
            <w:tcW w:w="1080" w:type="dxa"/>
            <w:noWrap/>
            <w:vAlign w:val="center"/>
          </w:tcPr>
          <w:p>
            <w:pPr>
              <w:widowControl/>
              <w:ind w:firstLine="0" w:firstLineChars="0"/>
              <w:jc w:val="center"/>
            </w:pPr>
            <w:r>
              <w:rPr>
                <w:rFonts w:hint="eastAsia"/>
              </w:rPr>
              <w:t>高树林</w:t>
            </w:r>
          </w:p>
        </w:tc>
        <w:tc>
          <w:tcPr>
            <w:tcW w:w="2340" w:type="dxa"/>
            <w:noWrap/>
            <w:vAlign w:val="center"/>
          </w:tcPr>
          <w:p>
            <w:pPr>
              <w:widowControl/>
              <w:ind w:firstLine="0" w:firstLineChars="0"/>
              <w:jc w:val="center"/>
            </w:pPr>
            <w:r>
              <w:rPr>
                <w:rFonts w:hint="eastAsia"/>
              </w:rPr>
              <w:t>主任</w:t>
            </w:r>
          </w:p>
        </w:tc>
        <w:tc>
          <w:tcPr>
            <w:tcW w:w="2172" w:type="dxa"/>
            <w:noWrap/>
            <w:vAlign w:val="center"/>
          </w:tcPr>
          <w:p>
            <w:pPr>
              <w:widowControl/>
              <w:ind w:firstLine="0" w:firstLineChars="0"/>
              <w:jc w:val="center"/>
            </w:pPr>
            <w:r>
              <w:t>13948682766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6</w:t>
            </w:r>
          </w:p>
        </w:tc>
        <w:tc>
          <w:tcPr>
            <w:tcW w:w="2880" w:type="dxa"/>
            <w:noWrap/>
            <w:vAlign w:val="center"/>
          </w:tcPr>
          <w:p>
            <w:pPr>
              <w:pStyle w:val="25"/>
              <w:jc w:val="center"/>
            </w:pPr>
            <w:r>
              <w:rPr>
                <w:rFonts w:hint="eastAsia"/>
              </w:rPr>
              <w:t>镇社会事务办公室</w:t>
            </w:r>
          </w:p>
        </w:tc>
        <w:tc>
          <w:tcPr>
            <w:tcW w:w="1080" w:type="dxa"/>
            <w:noWrap/>
            <w:vAlign w:val="center"/>
          </w:tcPr>
          <w:p>
            <w:pPr>
              <w:widowControl/>
              <w:ind w:firstLine="0" w:firstLineChars="0"/>
              <w:jc w:val="center"/>
            </w:pPr>
            <w:r>
              <w:rPr>
                <w:rFonts w:hint="eastAsia"/>
              </w:rPr>
              <w:t>李</w:t>
            </w:r>
            <w:r>
              <w:t xml:space="preserve">  </w:t>
            </w:r>
            <w:r>
              <w:rPr>
                <w:rFonts w:hint="eastAsia"/>
              </w:rPr>
              <w:t>海</w:t>
            </w:r>
          </w:p>
        </w:tc>
        <w:tc>
          <w:tcPr>
            <w:tcW w:w="2340" w:type="dxa"/>
            <w:noWrap/>
            <w:vAlign w:val="center"/>
          </w:tcPr>
          <w:p>
            <w:pPr>
              <w:widowControl/>
              <w:ind w:firstLine="0" w:firstLineChars="0"/>
              <w:jc w:val="center"/>
            </w:pPr>
            <w:r>
              <w:rPr>
                <w:rFonts w:hint="eastAsia"/>
              </w:rPr>
              <w:t>主任</w:t>
            </w:r>
          </w:p>
        </w:tc>
        <w:tc>
          <w:tcPr>
            <w:tcW w:w="2172" w:type="dxa"/>
            <w:noWrap/>
            <w:vAlign w:val="center"/>
          </w:tcPr>
          <w:p>
            <w:pPr>
              <w:widowControl/>
              <w:ind w:firstLine="0" w:firstLineChars="0"/>
              <w:jc w:val="center"/>
            </w:pPr>
            <w:r>
              <w:t>13947696721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7</w:t>
            </w:r>
          </w:p>
        </w:tc>
        <w:tc>
          <w:tcPr>
            <w:tcW w:w="2880" w:type="dxa"/>
            <w:noWrap/>
            <w:vAlign w:val="center"/>
          </w:tcPr>
          <w:p>
            <w:pPr>
              <w:pStyle w:val="25"/>
              <w:jc w:val="center"/>
            </w:pPr>
            <w:r>
              <w:rPr>
                <w:rFonts w:hint="eastAsia"/>
              </w:rPr>
              <w:t>镇平安建设办公室</w:t>
            </w:r>
          </w:p>
        </w:tc>
        <w:tc>
          <w:tcPr>
            <w:tcW w:w="1080" w:type="dxa"/>
            <w:noWrap/>
            <w:vAlign w:val="center"/>
          </w:tcPr>
          <w:p>
            <w:pPr>
              <w:widowControl/>
              <w:ind w:firstLine="0" w:firstLineChars="0"/>
              <w:jc w:val="center"/>
              <w:textAlignment w:val="center"/>
            </w:pPr>
            <w:r>
              <w:rPr>
                <w:rFonts w:hint="eastAsia"/>
              </w:rPr>
              <w:t>王</w:t>
            </w:r>
            <w:r>
              <w:t xml:space="preserve">  </w:t>
            </w:r>
            <w:r>
              <w:rPr>
                <w:rFonts w:hint="eastAsia"/>
              </w:rPr>
              <w:t>冰</w:t>
            </w:r>
          </w:p>
        </w:tc>
        <w:tc>
          <w:tcPr>
            <w:tcW w:w="2340" w:type="dxa"/>
            <w:noWrap/>
            <w:vAlign w:val="center"/>
          </w:tcPr>
          <w:p>
            <w:pPr>
              <w:widowControl/>
              <w:ind w:firstLine="0" w:firstLineChars="0"/>
              <w:jc w:val="center"/>
              <w:textAlignment w:val="center"/>
            </w:pPr>
            <w:r>
              <w:rPr>
                <w:rFonts w:hint="eastAsia"/>
              </w:rPr>
              <w:t>主任</w:t>
            </w:r>
          </w:p>
        </w:tc>
        <w:tc>
          <w:tcPr>
            <w:tcW w:w="2172" w:type="dxa"/>
            <w:noWrap/>
            <w:vAlign w:val="center"/>
          </w:tcPr>
          <w:p>
            <w:pPr>
              <w:widowControl/>
              <w:ind w:firstLine="0" w:firstLineChars="0"/>
              <w:jc w:val="center"/>
              <w:textAlignment w:val="center"/>
            </w:pPr>
            <w:r>
              <w:t>15849963556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8</w:t>
            </w:r>
          </w:p>
        </w:tc>
        <w:tc>
          <w:tcPr>
            <w:tcW w:w="2880" w:type="dxa"/>
            <w:noWrap/>
            <w:vAlign w:val="center"/>
          </w:tcPr>
          <w:p>
            <w:pPr>
              <w:pStyle w:val="25"/>
              <w:jc w:val="center"/>
            </w:pPr>
            <w:r>
              <w:rPr>
                <w:rFonts w:hint="eastAsia"/>
              </w:rPr>
              <w:t>镇党群服务中心</w:t>
            </w:r>
          </w:p>
        </w:tc>
        <w:tc>
          <w:tcPr>
            <w:tcW w:w="1080" w:type="dxa"/>
            <w:noWrap/>
            <w:vAlign w:val="center"/>
          </w:tcPr>
          <w:p>
            <w:pPr>
              <w:widowControl/>
              <w:ind w:firstLine="0" w:firstLineChars="0"/>
              <w:jc w:val="center"/>
              <w:textAlignment w:val="center"/>
            </w:pPr>
            <w:r>
              <w:rPr>
                <w:rFonts w:hint="eastAsia"/>
              </w:rPr>
              <w:t>任志文</w:t>
            </w:r>
          </w:p>
        </w:tc>
        <w:tc>
          <w:tcPr>
            <w:tcW w:w="2340" w:type="dxa"/>
            <w:noWrap/>
            <w:vAlign w:val="center"/>
          </w:tcPr>
          <w:p>
            <w:pPr>
              <w:widowControl/>
              <w:ind w:firstLine="0" w:firstLineChars="0"/>
              <w:jc w:val="center"/>
              <w:textAlignment w:val="center"/>
            </w:pPr>
            <w:r>
              <w:rPr>
                <w:rFonts w:hint="eastAsia"/>
              </w:rPr>
              <w:t>副主任</w:t>
            </w:r>
          </w:p>
        </w:tc>
        <w:tc>
          <w:tcPr>
            <w:tcW w:w="2172" w:type="dxa"/>
            <w:noWrap/>
            <w:vAlign w:val="center"/>
          </w:tcPr>
          <w:p>
            <w:pPr>
              <w:widowControl/>
              <w:ind w:firstLine="0" w:firstLineChars="0"/>
              <w:jc w:val="center"/>
              <w:textAlignment w:val="center"/>
            </w:pPr>
            <w:r>
              <w:t>15004766786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9</w:t>
            </w:r>
          </w:p>
        </w:tc>
        <w:tc>
          <w:tcPr>
            <w:tcW w:w="2880" w:type="dxa"/>
            <w:noWrap/>
            <w:vAlign w:val="center"/>
          </w:tcPr>
          <w:p>
            <w:pPr>
              <w:pStyle w:val="25"/>
              <w:jc w:val="center"/>
            </w:pPr>
            <w:r>
              <w:rPr>
                <w:rFonts w:hint="eastAsia"/>
              </w:rPr>
              <w:t>镇综合行政执法局</w:t>
            </w:r>
          </w:p>
        </w:tc>
        <w:tc>
          <w:tcPr>
            <w:tcW w:w="1080" w:type="dxa"/>
            <w:noWrap/>
            <w:vAlign w:val="center"/>
          </w:tcPr>
          <w:p>
            <w:pPr>
              <w:widowControl/>
              <w:ind w:firstLine="0" w:firstLineChars="0"/>
              <w:jc w:val="center"/>
              <w:textAlignment w:val="center"/>
            </w:pPr>
            <w:r>
              <w:rPr>
                <w:rFonts w:hint="eastAsia"/>
              </w:rPr>
              <w:t>王晓刚</w:t>
            </w:r>
          </w:p>
        </w:tc>
        <w:tc>
          <w:tcPr>
            <w:tcW w:w="2340" w:type="dxa"/>
            <w:noWrap/>
            <w:vAlign w:val="center"/>
          </w:tcPr>
          <w:p>
            <w:pPr>
              <w:widowControl/>
              <w:ind w:firstLine="0" w:firstLineChars="0"/>
              <w:jc w:val="center"/>
              <w:textAlignment w:val="center"/>
            </w:pPr>
            <w:r>
              <w:rPr>
                <w:rFonts w:hint="eastAsia"/>
              </w:rPr>
              <w:t>局长</w:t>
            </w:r>
          </w:p>
        </w:tc>
        <w:tc>
          <w:tcPr>
            <w:tcW w:w="2172" w:type="dxa"/>
            <w:noWrap/>
            <w:vAlign w:val="center"/>
          </w:tcPr>
          <w:p>
            <w:pPr>
              <w:widowControl/>
              <w:ind w:firstLine="0" w:firstLineChars="0"/>
              <w:jc w:val="center"/>
              <w:textAlignment w:val="center"/>
            </w:pPr>
            <w:r>
              <w:t>13789696544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8" w:type="dxa"/>
            <w:vAlign w:val="center"/>
          </w:tcPr>
          <w:p>
            <w:pPr>
              <w:pStyle w:val="25"/>
              <w:jc w:val="center"/>
            </w:pPr>
            <w:r>
              <w:t>10</w:t>
            </w:r>
          </w:p>
        </w:tc>
        <w:tc>
          <w:tcPr>
            <w:tcW w:w="2880" w:type="dxa"/>
            <w:noWrap/>
            <w:vAlign w:val="center"/>
          </w:tcPr>
          <w:p>
            <w:pPr>
              <w:pStyle w:val="25"/>
              <w:jc w:val="center"/>
            </w:pPr>
            <w:r>
              <w:rPr>
                <w:rFonts w:hint="eastAsia"/>
              </w:rPr>
              <w:t>镇综合保障和技术推广中心</w:t>
            </w:r>
          </w:p>
        </w:tc>
        <w:tc>
          <w:tcPr>
            <w:tcW w:w="1080" w:type="dxa"/>
            <w:noWrap/>
            <w:vAlign w:val="center"/>
          </w:tcPr>
          <w:p>
            <w:pPr>
              <w:widowControl/>
              <w:ind w:firstLine="0" w:firstLineChars="0"/>
              <w:jc w:val="center"/>
              <w:textAlignment w:val="center"/>
            </w:pPr>
            <w:r>
              <w:rPr>
                <w:rFonts w:hint="eastAsia"/>
              </w:rPr>
              <w:t>张立衡</w:t>
            </w:r>
          </w:p>
        </w:tc>
        <w:tc>
          <w:tcPr>
            <w:tcW w:w="2340" w:type="dxa"/>
            <w:noWrap/>
            <w:vAlign w:val="center"/>
          </w:tcPr>
          <w:p>
            <w:pPr>
              <w:widowControl/>
              <w:ind w:firstLine="0" w:firstLineChars="0"/>
              <w:jc w:val="center"/>
              <w:textAlignment w:val="center"/>
            </w:pPr>
            <w:r>
              <w:rPr>
                <w:rFonts w:hint="eastAsia"/>
              </w:rPr>
              <w:t>主任</w:t>
            </w:r>
          </w:p>
        </w:tc>
        <w:tc>
          <w:tcPr>
            <w:tcW w:w="2172" w:type="dxa"/>
            <w:noWrap/>
            <w:vAlign w:val="center"/>
          </w:tcPr>
          <w:p>
            <w:pPr>
              <w:widowControl/>
              <w:ind w:firstLine="0" w:firstLineChars="0"/>
              <w:jc w:val="center"/>
              <w:textAlignment w:val="center"/>
            </w:pPr>
            <w:r>
              <w:t>15703687999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11</w:t>
            </w:r>
          </w:p>
        </w:tc>
        <w:tc>
          <w:tcPr>
            <w:tcW w:w="2880" w:type="dxa"/>
            <w:noWrap/>
            <w:vAlign w:val="center"/>
          </w:tcPr>
          <w:p>
            <w:pPr>
              <w:pStyle w:val="25"/>
              <w:jc w:val="center"/>
            </w:pPr>
            <w:r>
              <w:rPr>
                <w:rFonts w:hint="eastAsia"/>
              </w:rPr>
              <w:t>富河小学</w:t>
            </w:r>
          </w:p>
        </w:tc>
        <w:tc>
          <w:tcPr>
            <w:tcW w:w="1080" w:type="dxa"/>
            <w:noWrap/>
            <w:vAlign w:val="center"/>
          </w:tcPr>
          <w:p>
            <w:pPr>
              <w:widowControl/>
              <w:ind w:firstLine="0" w:firstLineChars="0"/>
              <w:jc w:val="center"/>
              <w:textAlignment w:val="center"/>
            </w:pPr>
            <w:r>
              <w:rPr>
                <w:rFonts w:hint="eastAsia"/>
              </w:rPr>
              <w:t>王景新</w:t>
            </w:r>
          </w:p>
        </w:tc>
        <w:tc>
          <w:tcPr>
            <w:tcW w:w="2340" w:type="dxa"/>
            <w:noWrap/>
            <w:vAlign w:val="center"/>
          </w:tcPr>
          <w:p>
            <w:pPr>
              <w:widowControl/>
              <w:ind w:firstLine="0" w:firstLineChars="0"/>
              <w:jc w:val="center"/>
              <w:textAlignment w:val="center"/>
            </w:pPr>
            <w:r>
              <w:rPr>
                <w:rFonts w:hint="eastAsia"/>
              </w:rPr>
              <w:t>校长</w:t>
            </w:r>
          </w:p>
        </w:tc>
        <w:tc>
          <w:tcPr>
            <w:tcW w:w="2172" w:type="dxa"/>
            <w:noWrap/>
            <w:vAlign w:val="center"/>
          </w:tcPr>
          <w:p>
            <w:pPr>
              <w:widowControl/>
              <w:ind w:firstLine="0" w:firstLineChars="0"/>
              <w:jc w:val="center"/>
              <w:textAlignment w:val="center"/>
            </w:pPr>
            <w:r>
              <w:t>13474966971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12</w:t>
            </w:r>
          </w:p>
        </w:tc>
        <w:tc>
          <w:tcPr>
            <w:tcW w:w="2880" w:type="dxa"/>
            <w:noWrap/>
            <w:vAlign w:val="center"/>
          </w:tcPr>
          <w:p>
            <w:pPr>
              <w:pStyle w:val="25"/>
              <w:jc w:val="center"/>
            </w:pPr>
            <w:r>
              <w:rPr>
                <w:rFonts w:hint="eastAsia"/>
              </w:rPr>
              <w:t>富河供电所</w:t>
            </w:r>
          </w:p>
        </w:tc>
        <w:tc>
          <w:tcPr>
            <w:tcW w:w="1080" w:type="dxa"/>
            <w:noWrap/>
            <w:vAlign w:val="center"/>
          </w:tcPr>
          <w:p>
            <w:pPr>
              <w:widowControl/>
              <w:ind w:firstLine="0" w:firstLineChars="0"/>
              <w:jc w:val="center"/>
              <w:textAlignment w:val="center"/>
            </w:pPr>
            <w:r>
              <w:rPr>
                <w:rFonts w:hint="eastAsia"/>
              </w:rPr>
              <w:t>任国忠</w:t>
            </w:r>
          </w:p>
        </w:tc>
        <w:tc>
          <w:tcPr>
            <w:tcW w:w="2340" w:type="dxa"/>
            <w:noWrap/>
            <w:vAlign w:val="center"/>
          </w:tcPr>
          <w:p>
            <w:pPr>
              <w:widowControl/>
              <w:ind w:firstLine="0" w:firstLineChars="0"/>
              <w:jc w:val="center"/>
              <w:textAlignment w:val="center"/>
            </w:pPr>
            <w:r>
              <w:rPr>
                <w:rFonts w:hint="eastAsia"/>
              </w:rPr>
              <w:t>所长</w:t>
            </w:r>
          </w:p>
        </w:tc>
        <w:tc>
          <w:tcPr>
            <w:tcW w:w="2172" w:type="dxa"/>
            <w:noWrap/>
            <w:vAlign w:val="center"/>
          </w:tcPr>
          <w:p>
            <w:pPr>
              <w:widowControl/>
              <w:ind w:firstLine="0" w:firstLineChars="0"/>
              <w:jc w:val="center"/>
              <w:textAlignment w:val="center"/>
            </w:pPr>
            <w:r>
              <w:t>13947606500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13</w:t>
            </w:r>
          </w:p>
        </w:tc>
        <w:tc>
          <w:tcPr>
            <w:tcW w:w="2880" w:type="dxa"/>
            <w:noWrap/>
            <w:vAlign w:val="center"/>
          </w:tcPr>
          <w:p>
            <w:pPr>
              <w:pStyle w:val="25"/>
              <w:jc w:val="center"/>
            </w:pPr>
            <w:r>
              <w:rPr>
                <w:rFonts w:hint="eastAsia"/>
              </w:rPr>
              <w:t>浩尔吐邮政支局</w:t>
            </w:r>
          </w:p>
        </w:tc>
        <w:tc>
          <w:tcPr>
            <w:tcW w:w="1080" w:type="dxa"/>
            <w:noWrap/>
            <w:vAlign w:val="center"/>
          </w:tcPr>
          <w:p>
            <w:pPr>
              <w:widowControl/>
              <w:ind w:firstLine="0" w:firstLineChars="0"/>
              <w:jc w:val="center"/>
              <w:textAlignment w:val="center"/>
            </w:pPr>
            <w:r>
              <w:rPr>
                <w:rFonts w:hint="eastAsia"/>
              </w:rPr>
              <w:t>姜</w:t>
            </w:r>
            <w:r>
              <w:t xml:space="preserve">  </w:t>
            </w:r>
            <w:r>
              <w:rPr>
                <w:rFonts w:hint="eastAsia"/>
              </w:rPr>
              <w:t>虹</w:t>
            </w:r>
          </w:p>
        </w:tc>
        <w:tc>
          <w:tcPr>
            <w:tcW w:w="2340" w:type="dxa"/>
            <w:noWrap/>
            <w:vAlign w:val="center"/>
          </w:tcPr>
          <w:p>
            <w:pPr>
              <w:widowControl/>
              <w:ind w:firstLine="0" w:firstLineChars="0"/>
              <w:jc w:val="center"/>
              <w:textAlignment w:val="center"/>
            </w:pPr>
            <w:r>
              <w:rPr>
                <w:rFonts w:hint="eastAsia"/>
              </w:rPr>
              <w:t>支局长</w:t>
            </w:r>
          </w:p>
        </w:tc>
        <w:tc>
          <w:tcPr>
            <w:tcW w:w="2172" w:type="dxa"/>
            <w:noWrap/>
            <w:vAlign w:val="center"/>
          </w:tcPr>
          <w:p>
            <w:pPr>
              <w:widowControl/>
              <w:ind w:firstLine="0" w:firstLineChars="0"/>
              <w:jc w:val="center"/>
              <w:textAlignment w:val="center"/>
            </w:pPr>
            <w:r>
              <w:t>15174839578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14</w:t>
            </w:r>
          </w:p>
        </w:tc>
        <w:tc>
          <w:tcPr>
            <w:tcW w:w="2880" w:type="dxa"/>
            <w:noWrap/>
            <w:vAlign w:val="center"/>
          </w:tcPr>
          <w:p>
            <w:pPr>
              <w:pStyle w:val="25"/>
              <w:jc w:val="center"/>
            </w:pPr>
            <w:r>
              <w:rPr>
                <w:rFonts w:hint="eastAsia"/>
              </w:rPr>
              <w:t>联通浩尔吐营业所</w:t>
            </w:r>
          </w:p>
        </w:tc>
        <w:tc>
          <w:tcPr>
            <w:tcW w:w="1080" w:type="dxa"/>
            <w:noWrap/>
            <w:vAlign w:val="center"/>
          </w:tcPr>
          <w:p>
            <w:pPr>
              <w:widowControl/>
              <w:ind w:firstLine="0" w:firstLineChars="0"/>
              <w:jc w:val="center"/>
              <w:textAlignment w:val="center"/>
            </w:pPr>
            <w:r>
              <w:rPr>
                <w:rFonts w:hint="eastAsia"/>
              </w:rPr>
              <w:t>杨</w:t>
            </w:r>
            <w:r>
              <w:t xml:space="preserve">  </w:t>
            </w:r>
            <w:r>
              <w:rPr>
                <w:rFonts w:hint="eastAsia"/>
              </w:rPr>
              <w:t>明</w:t>
            </w:r>
          </w:p>
        </w:tc>
        <w:tc>
          <w:tcPr>
            <w:tcW w:w="2340" w:type="dxa"/>
            <w:noWrap/>
            <w:vAlign w:val="center"/>
          </w:tcPr>
          <w:p>
            <w:pPr>
              <w:widowControl/>
              <w:ind w:firstLine="0" w:firstLineChars="0"/>
              <w:jc w:val="center"/>
              <w:textAlignment w:val="center"/>
            </w:pPr>
            <w:r>
              <w:rPr>
                <w:rFonts w:hint="eastAsia"/>
              </w:rPr>
              <w:t>所长</w:t>
            </w:r>
          </w:p>
        </w:tc>
        <w:tc>
          <w:tcPr>
            <w:tcW w:w="2172" w:type="dxa"/>
            <w:noWrap/>
            <w:vAlign w:val="center"/>
          </w:tcPr>
          <w:p>
            <w:pPr>
              <w:widowControl/>
              <w:ind w:firstLine="0" w:firstLineChars="0"/>
              <w:jc w:val="center"/>
              <w:textAlignment w:val="center"/>
            </w:pPr>
            <w:r>
              <w:t>18647613610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15</w:t>
            </w:r>
          </w:p>
        </w:tc>
        <w:tc>
          <w:tcPr>
            <w:tcW w:w="2880" w:type="dxa"/>
            <w:noWrap/>
            <w:vAlign w:val="center"/>
          </w:tcPr>
          <w:p>
            <w:pPr>
              <w:pStyle w:val="25"/>
              <w:jc w:val="center"/>
            </w:pPr>
            <w:r>
              <w:rPr>
                <w:rFonts w:hint="eastAsia"/>
              </w:rPr>
              <w:t>富河镇派出所</w:t>
            </w:r>
          </w:p>
        </w:tc>
        <w:tc>
          <w:tcPr>
            <w:tcW w:w="1080" w:type="dxa"/>
            <w:noWrap/>
            <w:vAlign w:val="center"/>
          </w:tcPr>
          <w:p>
            <w:pPr>
              <w:widowControl/>
              <w:ind w:firstLine="0" w:firstLineChars="0"/>
              <w:jc w:val="center"/>
              <w:textAlignment w:val="center"/>
            </w:pPr>
            <w:r>
              <w:rPr>
                <w:rFonts w:hint="eastAsia"/>
              </w:rPr>
              <w:t>袁立志</w:t>
            </w:r>
          </w:p>
        </w:tc>
        <w:tc>
          <w:tcPr>
            <w:tcW w:w="2340" w:type="dxa"/>
            <w:noWrap/>
            <w:vAlign w:val="center"/>
          </w:tcPr>
          <w:p>
            <w:pPr>
              <w:widowControl/>
              <w:ind w:firstLine="0" w:firstLineChars="0"/>
              <w:jc w:val="center"/>
              <w:textAlignment w:val="center"/>
            </w:pPr>
            <w:r>
              <w:rPr>
                <w:rFonts w:hint="eastAsia"/>
              </w:rPr>
              <w:t>所长</w:t>
            </w:r>
          </w:p>
        </w:tc>
        <w:tc>
          <w:tcPr>
            <w:tcW w:w="2172" w:type="dxa"/>
            <w:noWrap/>
            <w:vAlign w:val="center"/>
          </w:tcPr>
          <w:p>
            <w:pPr>
              <w:widowControl/>
              <w:ind w:firstLine="0" w:firstLineChars="0"/>
              <w:jc w:val="center"/>
              <w:textAlignment w:val="center"/>
            </w:pPr>
            <w:r>
              <w:t>18804761861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16</w:t>
            </w:r>
          </w:p>
        </w:tc>
        <w:tc>
          <w:tcPr>
            <w:tcW w:w="2880" w:type="dxa"/>
            <w:noWrap/>
            <w:vAlign w:val="center"/>
          </w:tcPr>
          <w:p>
            <w:pPr>
              <w:pStyle w:val="25"/>
              <w:jc w:val="center"/>
            </w:pPr>
            <w:r>
              <w:rPr>
                <w:rFonts w:hint="eastAsia"/>
              </w:rPr>
              <w:t>浩尔吐道班</w:t>
            </w:r>
          </w:p>
        </w:tc>
        <w:tc>
          <w:tcPr>
            <w:tcW w:w="1080" w:type="dxa"/>
            <w:noWrap/>
            <w:vAlign w:val="center"/>
          </w:tcPr>
          <w:p>
            <w:pPr>
              <w:widowControl/>
              <w:ind w:firstLine="0" w:firstLineChars="0"/>
              <w:jc w:val="center"/>
              <w:textAlignment w:val="center"/>
            </w:pPr>
            <w:r>
              <w:rPr>
                <w:rFonts w:hint="eastAsia"/>
              </w:rPr>
              <w:t>刘学彬</w:t>
            </w:r>
          </w:p>
        </w:tc>
        <w:tc>
          <w:tcPr>
            <w:tcW w:w="2340" w:type="dxa"/>
            <w:noWrap/>
            <w:vAlign w:val="center"/>
          </w:tcPr>
          <w:p>
            <w:pPr>
              <w:widowControl/>
              <w:ind w:firstLine="0" w:firstLineChars="0"/>
              <w:jc w:val="center"/>
              <w:textAlignment w:val="center"/>
            </w:pPr>
            <w:r>
              <w:rPr>
                <w:rFonts w:hint="eastAsia"/>
              </w:rPr>
              <w:t>班长</w:t>
            </w:r>
          </w:p>
        </w:tc>
        <w:tc>
          <w:tcPr>
            <w:tcW w:w="2172" w:type="dxa"/>
            <w:noWrap/>
            <w:vAlign w:val="center"/>
          </w:tcPr>
          <w:p>
            <w:pPr>
              <w:widowControl/>
              <w:ind w:firstLine="0" w:firstLineChars="0"/>
              <w:jc w:val="center"/>
              <w:textAlignment w:val="center"/>
            </w:pPr>
            <w:r>
              <w:t>13948681167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8" w:type="dxa"/>
            <w:vAlign w:val="center"/>
          </w:tcPr>
          <w:p>
            <w:pPr>
              <w:pStyle w:val="25"/>
              <w:jc w:val="center"/>
            </w:pPr>
            <w:r>
              <w:t>17</w:t>
            </w:r>
          </w:p>
        </w:tc>
        <w:tc>
          <w:tcPr>
            <w:tcW w:w="2880" w:type="dxa"/>
            <w:noWrap/>
            <w:vAlign w:val="center"/>
          </w:tcPr>
          <w:p>
            <w:pPr>
              <w:pStyle w:val="25"/>
              <w:jc w:val="center"/>
            </w:pPr>
            <w:r>
              <w:rPr>
                <w:rFonts w:hint="eastAsia"/>
              </w:rPr>
              <w:t>富河国家气象观测站</w:t>
            </w:r>
          </w:p>
        </w:tc>
        <w:tc>
          <w:tcPr>
            <w:tcW w:w="1080" w:type="dxa"/>
            <w:noWrap/>
            <w:vAlign w:val="center"/>
          </w:tcPr>
          <w:p>
            <w:pPr>
              <w:widowControl/>
              <w:ind w:firstLine="0" w:firstLineChars="0"/>
              <w:jc w:val="center"/>
              <w:textAlignment w:val="center"/>
            </w:pPr>
            <w:r>
              <w:rPr>
                <w:rFonts w:hint="eastAsia"/>
              </w:rPr>
              <w:t>宋向龙</w:t>
            </w:r>
          </w:p>
        </w:tc>
        <w:tc>
          <w:tcPr>
            <w:tcW w:w="2340" w:type="dxa"/>
            <w:noWrap/>
            <w:vAlign w:val="center"/>
          </w:tcPr>
          <w:p>
            <w:pPr>
              <w:widowControl/>
              <w:ind w:firstLine="0" w:firstLineChars="0"/>
              <w:jc w:val="center"/>
              <w:textAlignment w:val="center"/>
            </w:pPr>
            <w:r>
              <w:rPr>
                <w:rFonts w:hint="eastAsia"/>
              </w:rPr>
              <w:t>站长</w:t>
            </w:r>
          </w:p>
        </w:tc>
        <w:tc>
          <w:tcPr>
            <w:tcW w:w="2172" w:type="dxa"/>
            <w:noWrap/>
            <w:vAlign w:val="center"/>
          </w:tcPr>
          <w:p>
            <w:pPr>
              <w:widowControl/>
              <w:ind w:firstLine="0" w:firstLineChars="0"/>
              <w:jc w:val="center"/>
              <w:textAlignment w:val="center"/>
            </w:pPr>
            <w:r>
              <w:t>15847352822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r>
              <w:t>18</w:t>
            </w:r>
          </w:p>
        </w:tc>
        <w:tc>
          <w:tcPr>
            <w:tcW w:w="2880" w:type="dxa"/>
            <w:noWrap/>
            <w:vAlign w:val="center"/>
          </w:tcPr>
          <w:p>
            <w:pPr>
              <w:pStyle w:val="25"/>
              <w:jc w:val="center"/>
            </w:pPr>
            <w:r>
              <w:rPr>
                <w:rFonts w:hint="eastAsia"/>
              </w:rPr>
              <w:t>富河镇市场监督管理所</w:t>
            </w:r>
          </w:p>
        </w:tc>
        <w:tc>
          <w:tcPr>
            <w:tcW w:w="1080" w:type="dxa"/>
            <w:noWrap/>
            <w:vAlign w:val="center"/>
          </w:tcPr>
          <w:p>
            <w:pPr>
              <w:widowControl/>
              <w:ind w:firstLine="0" w:firstLineChars="0"/>
              <w:jc w:val="center"/>
              <w:textAlignment w:val="center"/>
            </w:pPr>
            <w:r>
              <w:rPr>
                <w:rFonts w:hint="eastAsia"/>
              </w:rPr>
              <w:t>王继敏</w:t>
            </w:r>
          </w:p>
        </w:tc>
        <w:tc>
          <w:tcPr>
            <w:tcW w:w="2340" w:type="dxa"/>
            <w:noWrap/>
            <w:vAlign w:val="center"/>
          </w:tcPr>
          <w:p>
            <w:pPr>
              <w:widowControl/>
              <w:ind w:firstLine="0" w:firstLineChars="0"/>
              <w:jc w:val="center"/>
              <w:textAlignment w:val="center"/>
            </w:pPr>
            <w:r>
              <w:rPr>
                <w:rFonts w:hint="eastAsia"/>
              </w:rPr>
              <w:t>所长</w:t>
            </w:r>
          </w:p>
        </w:tc>
        <w:tc>
          <w:tcPr>
            <w:tcW w:w="2172" w:type="dxa"/>
            <w:noWrap/>
            <w:vAlign w:val="center"/>
          </w:tcPr>
          <w:p>
            <w:pPr>
              <w:widowControl/>
              <w:ind w:firstLine="0" w:firstLineChars="0"/>
              <w:jc w:val="center"/>
              <w:textAlignment w:val="center"/>
            </w:pPr>
            <w:r>
              <w:t>15949963658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p>
        </w:tc>
        <w:tc>
          <w:tcPr>
            <w:tcW w:w="2880" w:type="dxa"/>
            <w:noWrap/>
            <w:vAlign w:val="center"/>
          </w:tcPr>
          <w:p>
            <w:pPr>
              <w:pStyle w:val="25"/>
              <w:jc w:val="center"/>
            </w:pPr>
          </w:p>
        </w:tc>
        <w:tc>
          <w:tcPr>
            <w:tcW w:w="1080" w:type="dxa"/>
            <w:noWrap/>
            <w:vAlign w:val="center"/>
          </w:tcPr>
          <w:p>
            <w:pPr>
              <w:widowControl/>
              <w:ind w:firstLine="0" w:firstLineChars="0"/>
              <w:jc w:val="center"/>
              <w:textAlignment w:val="center"/>
            </w:pPr>
          </w:p>
        </w:tc>
        <w:tc>
          <w:tcPr>
            <w:tcW w:w="2340" w:type="dxa"/>
            <w:noWrap/>
            <w:vAlign w:val="center"/>
          </w:tcPr>
          <w:p>
            <w:pPr>
              <w:ind w:firstLine="0" w:firstLineChars="0"/>
              <w:jc w:val="center"/>
            </w:pPr>
          </w:p>
        </w:tc>
        <w:tc>
          <w:tcPr>
            <w:tcW w:w="2172" w:type="dxa"/>
            <w:noWrap/>
            <w:vAlign w:val="center"/>
          </w:tcPr>
          <w:p>
            <w:pPr>
              <w:widowControl/>
              <w:ind w:firstLine="0" w:firstLineChars="0"/>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pStyle w:val="25"/>
              <w:jc w:val="center"/>
            </w:pPr>
          </w:p>
        </w:tc>
        <w:tc>
          <w:tcPr>
            <w:tcW w:w="2880" w:type="dxa"/>
            <w:noWrap/>
            <w:vAlign w:val="center"/>
          </w:tcPr>
          <w:p>
            <w:pPr>
              <w:pStyle w:val="25"/>
              <w:jc w:val="center"/>
            </w:pPr>
          </w:p>
        </w:tc>
        <w:tc>
          <w:tcPr>
            <w:tcW w:w="1080" w:type="dxa"/>
            <w:noWrap/>
            <w:vAlign w:val="center"/>
          </w:tcPr>
          <w:p>
            <w:pPr>
              <w:widowControl/>
              <w:ind w:firstLine="0" w:firstLineChars="0"/>
              <w:jc w:val="center"/>
              <w:textAlignment w:val="center"/>
            </w:pPr>
          </w:p>
        </w:tc>
        <w:tc>
          <w:tcPr>
            <w:tcW w:w="2340" w:type="dxa"/>
            <w:noWrap/>
            <w:vAlign w:val="center"/>
          </w:tcPr>
          <w:p>
            <w:pPr>
              <w:ind w:firstLine="0" w:firstLineChars="0"/>
              <w:jc w:val="center"/>
            </w:pPr>
          </w:p>
        </w:tc>
        <w:tc>
          <w:tcPr>
            <w:tcW w:w="2172" w:type="dxa"/>
            <w:noWrap/>
            <w:vAlign w:val="center"/>
          </w:tcPr>
          <w:p>
            <w:pPr>
              <w:widowControl/>
              <w:ind w:firstLine="0" w:firstLineChars="0"/>
              <w:jc w:val="center"/>
              <w:textAlignment w:val="center"/>
            </w:pPr>
          </w:p>
        </w:tc>
      </w:tr>
    </w:tbl>
    <w:p>
      <w:pPr>
        <w:pStyle w:val="5"/>
        <w:spacing w:line="360" w:lineRule="auto"/>
        <w:ind w:left="0" w:right="0" w:firstLine="0" w:firstLineChars="0"/>
        <w:jc w:val="both"/>
        <w:rPr>
          <w:rFonts w:ascii="宋体" w:hAnsi="宋体" w:eastAsia="宋体" w:cs="宋体"/>
          <w:color w:val="000000"/>
          <w:sz w:val="28"/>
          <w:szCs w:val="28"/>
        </w:rPr>
      </w:pPr>
    </w:p>
    <w:bookmarkEnd w:id="98"/>
    <w:sectPr>
      <w:footerReference r:id="rId8" w:type="default"/>
      <w:pgSz w:w="11910" w:h="16840"/>
      <w:pgMar w:top="1134" w:right="1134" w:bottom="1134" w:left="1134" w:header="0" w:footer="99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ordia New">
    <w:panose1 w:val="020B0304020202020204"/>
    <w:charset w:val="DE"/>
    <w:family w:val="roman"/>
    <w:pitch w:val="default"/>
    <w:sig w:usb0="81000003" w:usb1="00000000" w:usb2="00000000" w:usb3="00000000" w:csb0="0001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ight="0" w:firstLine="31680"/>
      <w:rPr>
        <w:rFonts w:cs="Times New Roman"/>
        <w:sz w:val="20"/>
        <w:szCs w:val="20"/>
      </w:rPr>
    </w:pPr>
    <w:r>
      <w:rPr>
        <w:lang w:val="en-US"/>
      </w:rPr>
      <w:pict>
        <v:shape id="_x0000_s2050" o:spid="_x0000_s2050" o:spt="202" type="#_x0000_t202" style="position:absolute;left:0pt;margin-top:781.35pt;height:20.3pt;width:15.25pt;mso-position-horizontal:center;mso-position-horizontal-relative:margin;mso-position-vertical-relative:page;z-index:251658240;mso-width-relative:page;mso-height-relative:page;" filled="f" stroked="f" coordsize="21600,21600">
          <v:path/>
          <v:fill on="f" focussize="0,0"/>
          <v:stroke on="f" joinstyle="miter"/>
          <v:imagedata o:title=""/>
          <o:lock v:ext="edit"/>
          <v:textbox inset="0mm,0mm,0mm,0mm">
            <w:txbxContent>
              <w:p>
                <w:pPr>
                  <w:ind w:firstLine="31680"/>
                  <w:rPr>
                    <w:rFonts w:cs="Times New Roma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ight="0" w:firstLine="31680"/>
      <w:rPr>
        <w:rFonts w:cs="Times New Roman"/>
        <w:sz w:val="20"/>
        <w:szCs w:val="20"/>
      </w:rPr>
    </w:pPr>
  </w:p>
  <w:p>
    <w:pPr>
      <w:pStyle w:val="5"/>
      <w:spacing w:line="14" w:lineRule="auto"/>
      <w:ind w:left="0" w:right="0" w:firstLine="31680"/>
      <w:rPr>
        <w:rFonts w:cs="Times New Roman"/>
        <w:sz w:val="20"/>
        <w:szCs w:val="20"/>
      </w:rPr>
    </w:pPr>
    <w:r>
      <w:rPr>
        <w:lang w:val="en-US"/>
      </w:rPr>
      <w:pict>
        <v:shape id="_x0000_s2051" o:spid="_x0000_s2051" o:spt="202" type="#_x0000_t202" style="position:absolute;left:0pt;margin-left:217.05pt;margin-top:-20.25pt;height:144pt;width:144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7"/>
                  <w:ind w:firstLine="31680"/>
                </w:pPr>
                <w:r>
                  <w:fldChar w:fldCharType="begin"/>
                </w:r>
                <w:r>
                  <w:instrText xml:space="preserve"> PAGE  \* MERGEFORMAT </w:instrText>
                </w:r>
                <w:r>
                  <w:fldChar w:fldCharType="separate"/>
                </w:r>
                <w:r>
                  <w:t>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ight="0" w:firstLine="31680"/>
      <w:rPr>
        <w:rFonts w:cs="Times New Roman"/>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ight="0" w:firstLine="31680"/>
      <w:rPr>
        <w:rFonts w:cs="Times New Roman"/>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ight="0" w:firstLine="31680"/>
      <w:rPr>
        <w:rFonts w:cs="Times New Roman"/>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ind w:firstLine="31680"/>
      <w:rPr>
        <w:rFonts w:cs="Times New Roman"/>
      </w:rPr>
    </w:pPr>
    <w:r>
      <w:pict>
        <v:shape id="_x0000_s2049" o:spid="_x0000_s2049" o:spt="202" type="#_x0000_t202" style="position:absolute;left:0pt;margin-left:-35.45pt;margin-top:4.4pt;height:20.3pt;width:15.25pt;mso-position-horizontal-relative:margin;mso-position-vertical-relative:page;z-index:251657216;mso-width-relative:page;mso-height-relative:page;" filled="f" stroked="f" coordsize="21600,21600">
          <v:path/>
          <v:fill on="f" focussize="0,0"/>
          <v:stroke on="f" joinstyle="miter"/>
          <v:imagedata o:title=""/>
          <o:lock v:ext="edit"/>
          <v:textbox inset="0mm,0mm,0mm,0mm">
            <w:txbxContent>
              <w:p>
                <w:pPr>
                  <w:ind w:firstLine="31680"/>
                  <w:rPr>
                    <w:rFonts w:cs="Times New Roman"/>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756E6"/>
    <w:multiLevelType w:val="singleLevel"/>
    <w:tmpl w:val="566756E6"/>
    <w:lvl w:ilvl="0" w:tentative="0">
      <w:start w:val="1"/>
      <w:numFmt w:val="decimal"/>
      <w:suff w:val="nothing"/>
      <w:lvlText w:val="%1、"/>
      <w:lvlJc w:val="left"/>
      <w:pPr>
        <w:ind w:firstLine="397"/>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2553577"/>
    <w:rsid w:val="00027A85"/>
    <w:rsid w:val="000472A0"/>
    <w:rsid w:val="000713A1"/>
    <w:rsid w:val="000A15D2"/>
    <w:rsid w:val="000B2EFC"/>
    <w:rsid w:val="00102217"/>
    <w:rsid w:val="001172C7"/>
    <w:rsid w:val="001302D6"/>
    <w:rsid w:val="00135E60"/>
    <w:rsid w:val="00183E00"/>
    <w:rsid w:val="00187673"/>
    <w:rsid w:val="00197C7A"/>
    <w:rsid w:val="0024019E"/>
    <w:rsid w:val="00247904"/>
    <w:rsid w:val="00282845"/>
    <w:rsid w:val="002A1B01"/>
    <w:rsid w:val="002A76AA"/>
    <w:rsid w:val="002E0FF0"/>
    <w:rsid w:val="002E1C7B"/>
    <w:rsid w:val="00313DEF"/>
    <w:rsid w:val="00330A92"/>
    <w:rsid w:val="00343CDF"/>
    <w:rsid w:val="00346E1B"/>
    <w:rsid w:val="00387C2F"/>
    <w:rsid w:val="00396AF1"/>
    <w:rsid w:val="003A569F"/>
    <w:rsid w:val="003C3537"/>
    <w:rsid w:val="003D2726"/>
    <w:rsid w:val="003D4040"/>
    <w:rsid w:val="0041246A"/>
    <w:rsid w:val="004413CC"/>
    <w:rsid w:val="00454EDF"/>
    <w:rsid w:val="004A5340"/>
    <w:rsid w:val="004B690C"/>
    <w:rsid w:val="004D3771"/>
    <w:rsid w:val="00513812"/>
    <w:rsid w:val="00544FB5"/>
    <w:rsid w:val="005843A3"/>
    <w:rsid w:val="0058726B"/>
    <w:rsid w:val="005E4A7F"/>
    <w:rsid w:val="0060297D"/>
    <w:rsid w:val="00674030"/>
    <w:rsid w:val="006C0BE9"/>
    <w:rsid w:val="007145AC"/>
    <w:rsid w:val="007536FB"/>
    <w:rsid w:val="00765430"/>
    <w:rsid w:val="00787D7F"/>
    <w:rsid w:val="007A1BFC"/>
    <w:rsid w:val="007B279E"/>
    <w:rsid w:val="007C2C9E"/>
    <w:rsid w:val="007D24E0"/>
    <w:rsid w:val="007D2744"/>
    <w:rsid w:val="007D4638"/>
    <w:rsid w:val="00806568"/>
    <w:rsid w:val="00807088"/>
    <w:rsid w:val="008257BB"/>
    <w:rsid w:val="00827DFA"/>
    <w:rsid w:val="008547E7"/>
    <w:rsid w:val="00860B80"/>
    <w:rsid w:val="00861FA1"/>
    <w:rsid w:val="008734DF"/>
    <w:rsid w:val="008768CD"/>
    <w:rsid w:val="008841CB"/>
    <w:rsid w:val="008F3516"/>
    <w:rsid w:val="00904D94"/>
    <w:rsid w:val="0091088E"/>
    <w:rsid w:val="009161A7"/>
    <w:rsid w:val="009F1FCC"/>
    <w:rsid w:val="009F3F3C"/>
    <w:rsid w:val="009F4266"/>
    <w:rsid w:val="00A07B36"/>
    <w:rsid w:val="00A245B7"/>
    <w:rsid w:val="00AA5C9A"/>
    <w:rsid w:val="00B03B76"/>
    <w:rsid w:val="00B03F3A"/>
    <w:rsid w:val="00B265AF"/>
    <w:rsid w:val="00B53BF3"/>
    <w:rsid w:val="00B54200"/>
    <w:rsid w:val="00B72926"/>
    <w:rsid w:val="00B809EA"/>
    <w:rsid w:val="00B903E0"/>
    <w:rsid w:val="00C06963"/>
    <w:rsid w:val="00C12859"/>
    <w:rsid w:val="00C63CEE"/>
    <w:rsid w:val="00CF7842"/>
    <w:rsid w:val="00D038BF"/>
    <w:rsid w:val="00D04753"/>
    <w:rsid w:val="00D808B6"/>
    <w:rsid w:val="00D82B8D"/>
    <w:rsid w:val="00D93B67"/>
    <w:rsid w:val="00DA4710"/>
    <w:rsid w:val="00E03E46"/>
    <w:rsid w:val="00E3158A"/>
    <w:rsid w:val="00E96A9F"/>
    <w:rsid w:val="00EF1D49"/>
    <w:rsid w:val="00F01A94"/>
    <w:rsid w:val="00F31A93"/>
    <w:rsid w:val="00F528BC"/>
    <w:rsid w:val="00FA3ABD"/>
    <w:rsid w:val="00FA529B"/>
    <w:rsid w:val="00FA5646"/>
    <w:rsid w:val="00FC0444"/>
    <w:rsid w:val="00FD275E"/>
    <w:rsid w:val="00FD7523"/>
    <w:rsid w:val="00FE68E6"/>
    <w:rsid w:val="00FF3555"/>
    <w:rsid w:val="010F3147"/>
    <w:rsid w:val="01351F2A"/>
    <w:rsid w:val="015C40B9"/>
    <w:rsid w:val="01886255"/>
    <w:rsid w:val="01B246D9"/>
    <w:rsid w:val="01E36BBE"/>
    <w:rsid w:val="01E64B30"/>
    <w:rsid w:val="01F53507"/>
    <w:rsid w:val="0206717A"/>
    <w:rsid w:val="021379AA"/>
    <w:rsid w:val="0236441A"/>
    <w:rsid w:val="023B0A78"/>
    <w:rsid w:val="024E6728"/>
    <w:rsid w:val="025E0226"/>
    <w:rsid w:val="026565B9"/>
    <w:rsid w:val="028815D8"/>
    <w:rsid w:val="02A97049"/>
    <w:rsid w:val="02E87E24"/>
    <w:rsid w:val="02FE45A0"/>
    <w:rsid w:val="030C7214"/>
    <w:rsid w:val="03107FF7"/>
    <w:rsid w:val="035A6557"/>
    <w:rsid w:val="035C495B"/>
    <w:rsid w:val="03620192"/>
    <w:rsid w:val="036C6032"/>
    <w:rsid w:val="03782CEF"/>
    <w:rsid w:val="037B230A"/>
    <w:rsid w:val="038761D1"/>
    <w:rsid w:val="03A3429A"/>
    <w:rsid w:val="03B66C61"/>
    <w:rsid w:val="03E7154A"/>
    <w:rsid w:val="03F34BCE"/>
    <w:rsid w:val="044256B8"/>
    <w:rsid w:val="04B2054D"/>
    <w:rsid w:val="04B96240"/>
    <w:rsid w:val="04C805F6"/>
    <w:rsid w:val="04D8445A"/>
    <w:rsid w:val="04DC5116"/>
    <w:rsid w:val="04F54398"/>
    <w:rsid w:val="05002E33"/>
    <w:rsid w:val="050F1E91"/>
    <w:rsid w:val="05163896"/>
    <w:rsid w:val="051D3A01"/>
    <w:rsid w:val="052D0940"/>
    <w:rsid w:val="053D0235"/>
    <w:rsid w:val="054C0AB0"/>
    <w:rsid w:val="0554627C"/>
    <w:rsid w:val="055C5629"/>
    <w:rsid w:val="05676E68"/>
    <w:rsid w:val="058E66A2"/>
    <w:rsid w:val="059B4612"/>
    <w:rsid w:val="05A85AF4"/>
    <w:rsid w:val="05B7650C"/>
    <w:rsid w:val="05CD4C34"/>
    <w:rsid w:val="05DC6F0B"/>
    <w:rsid w:val="05E31B60"/>
    <w:rsid w:val="05E37D53"/>
    <w:rsid w:val="067A4578"/>
    <w:rsid w:val="06DB6B56"/>
    <w:rsid w:val="06E77985"/>
    <w:rsid w:val="06EC0A8E"/>
    <w:rsid w:val="071836DE"/>
    <w:rsid w:val="077003C9"/>
    <w:rsid w:val="078B6D1D"/>
    <w:rsid w:val="078C2383"/>
    <w:rsid w:val="07A2313A"/>
    <w:rsid w:val="07CE4840"/>
    <w:rsid w:val="07EA4AF1"/>
    <w:rsid w:val="07EF00EC"/>
    <w:rsid w:val="07F329B8"/>
    <w:rsid w:val="08080AC8"/>
    <w:rsid w:val="081E5D70"/>
    <w:rsid w:val="08247814"/>
    <w:rsid w:val="083C3336"/>
    <w:rsid w:val="0848318D"/>
    <w:rsid w:val="088C6FAB"/>
    <w:rsid w:val="08D82057"/>
    <w:rsid w:val="08E33A7B"/>
    <w:rsid w:val="08EA2B6A"/>
    <w:rsid w:val="08F27C12"/>
    <w:rsid w:val="08F85965"/>
    <w:rsid w:val="09126F43"/>
    <w:rsid w:val="09293389"/>
    <w:rsid w:val="09334526"/>
    <w:rsid w:val="09375230"/>
    <w:rsid w:val="09450429"/>
    <w:rsid w:val="094A317B"/>
    <w:rsid w:val="094B2619"/>
    <w:rsid w:val="09525146"/>
    <w:rsid w:val="09790F78"/>
    <w:rsid w:val="09994115"/>
    <w:rsid w:val="09A438CA"/>
    <w:rsid w:val="09B830E7"/>
    <w:rsid w:val="09BE436F"/>
    <w:rsid w:val="09E30195"/>
    <w:rsid w:val="0A050C67"/>
    <w:rsid w:val="0A0D6AB7"/>
    <w:rsid w:val="0A4C2BDA"/>
    <w:rsid w:val="0ACC1400"/>
    <w:rsid w:val="0B0F6D46"/>
    <w:rsid w:val="0B164581"/>
    <w:rsid w:val="0B211FBE"/>
    <w:rsid w:val="0B40045F"/>
    <w:rsid w:val="0B4E34FF"/>
    <w:rsid w:val="0B521DE9"/>
    <w:rsid w:val="0B597708"/>
    <w:rsid w:val="0BB632FE"/>
    <w:rsid w:val="0BBB3885"/>
    <w:rsid w:val="0BF8739E"/>
    <w:rsid w:val="0CA34FBF"/>
    <w:rsid w:val="0CA74199"/>
    <w:rsid w:val="0CA84B17"/>
    <w:rsid w:val="0CAF7206"/>
    <w:rsid w:val="0CB459FE"/>
    <w:rsid w:val="0CBC7E69"/>
    <w:rsid w:val="0CBF3E7C"/>
    <w:rsid w:val="0CCF4D1F"/>
    <w:rsid w:val="0CEA0304"/>
    <w:rsid w:val="0CF60251"/>
    <w:rsid w:val="0D1459F7"/>
    <w:rsid w:val="0D2648B8"/>
    <w:rsid w:val="0D2849E6"/>
    <w:rsid w:val="0D3541A0"/>
    <w:rsid w:val="0D495C3A"/>
    <w:rsid w:val="0D4A4842"/>
    <w:rsid w:val="0D504421"/>
    <w:rsid w:val="0DCB3A75"/>
    <w:rsid w:val="0E6B23A2"/>
    <w:rsid w:val="0E7C7226"/>
    <w:rsid w:val="0E885001"/>
    <w:rsid w:val="0E8C0DAE"/>
    <w:rsid w:val="0E8C48BE"/>
    <w:rsid w:val="0E9A21E6"/>
    <w:rsid w:val="0F144DA6"/>
    <w:rsid w:val="0F2B1698"/>
    <w:rsid w:val="0F2B684B"/>
    <w:rsid w:val="0F2D19E5"/>
    <w:rsid w:val="0F461332"/>
    <w:rsid w:val="0F55223D"/>
    <w:rsid w:val="0F652A8B"/>
    <w:rsid w:val="0F805B92"/>
    <w:rsid w:val="0FCE59EF"/>
    <w:rsid w:val="102B5417"/>
    <w:rsid w:val="10346F64"/>
    <w:rsid w:val="10370D48"/>
    <w:rsid w:val="10442B40"/>
    <w:rsid w:val="1072412B"/>
    <w:rsid w:val="107261A6"/>
    <w:rsid w:val="107E4BF4"/>
    <w:rsid w:val="113B51AA"/>
    <w:rsid w:val="115B3106"/>
    <w:rsid w:val="1171479F"/>
    <w:rsid w:val="11C116DB"/>
    <w:rsid w:val="11E04FC3"/>
    <w:rsid w:val="120852FB"/>
    <w:rsid w:val="12666B6D"/>
    <w:rsid w:val="12751116"/>
    <w:rsid w:val="12953B5C"/>
    <w:rsid w:val="129723E3"/>
    <w:rsid w:val="12A60E30"/>
    <w:rsid w:val="12BA63DE"/>
    <w:rsid w:val="12D27B4A"/>
    <w:rsid w:val="12E92CCF"/>
    <w:rsid w:val="130B364B"/>
    <w:rsid w:val="132D2BE6"/>
    <w:rsid w:val="13754D35"/>
    <w:rsid w:val="13A550E7"/>
    <w:rsid w:val="141D413D"/>
    <w:rsid w:val="142F651E"/>
    <w:rsid w:val="14543BEA"/>
    <w:rsid w:val="145619B2"/>
    <w:rsid w:val="14674243"/>
    <w:rsid w:val="147E20DE"/>
    <w:rsid w:val="14883D17"/>
    <w:rsid w:val="148D2305"/>
    <w:rsid w:val="149407C2"/>
    <w:rsid w:val="14A164C0"/>
    <w:rsid w:val="14CE46E0"/>
    <w:rsid w:val="14E25692"/>
    <w:rsid w:val="14E61726"/>
    <w:rsid w:val="14E71CBD"/>
    <w:rsid w:val="150A062D"/>
    <w:rsid w:val="151A78DE"/>
    <w:rsid w:val="15367C6B"/>
    <w:rsid w:val="153B0600"/>
    <w:rsid w:val="15557919"/>
    <w:rsid w:val="15574543"/>
    <w:rsid w:val="157511A7"/>
    <w:rsid w:val="157A5F8E"/>
    <w:rsid w:val="15A26B26"/>
    <w:rsid w:val="15AA00B9"/>
    <w:rsid w:val="15B2109D"/>
    <w:rsid w:val="15CA36D6"/>
    <w:rsid w:val="162365F3"/>
    <w:rsid w:val="16525EC8"/>
    <w:rsid w:val="166151DE"/>
    <w:rsid w:val="1689487C"/>
    <w:rsid w:val="168D6370"/>
    <w:rsid w:val="168E4BB1"/>
    <w:rsid w:val="16930592"/>
    <w:rsid w:val="169517AA"/>
    <w:rsid w:val="169C32DF"/>
    <w:rsid w:val="16B027ED"/>
    <w:rsid w:val="16B22474"/>
    <w:rsid w:val="16B5409B"/>
    <w:rsid w:val="16F67637"/>
    <w:rsid w:val="1704451D"/>
    <w:rsid w:val="170A5AB3"/>
    <w:rsid w:val="174B7E18"/>
    <w:rsid w:val="175274D7"/>
    <w:rsid w:val="175E44EA"/>
    <w:rsid w:val="17600E3F"/>
    <w:rsid w:val="17834DF4"/>
    <w:rsid w:val="17C03435"/>
    <w:rsid w:val="17E727B6"/>
    <w:rsid w:val="17E862BD"/>
    <w:rsid w:val="18047662"/>
    <w:rsid w:val="182E46D7"/>
    <w:rsid w:val="182E4C46"/>
    <w:rsid w:val="182F4C82"/>
    <w:rsid w:val="183C2B17"/>
    <w:rsid w:val="185F295C"/>
    <w:rsid w:val="18A03557"/>
    <w:rsid w:val="18A50842"/>
    <w:rsid w:val="18AB783C"/>
    <w:rsid w:val="18C90CEF"/>
    <w:rsid w:val="18DD250B"/>
    <w:rsid w:val="18E104A1"/>
    <w:rsid w:val="18EB2DA4"/>
    <w:rsid w:val="18FB1F0B"/>
    <w:rsid w:val="18FE64B1"/>
    <w:rsid w:val="19003B4F"/>
    <w:rsid w:val="19241476"/>
    <w:rsid w:val="199B2059"/>
    <w:rsid w:val="199E0CFE"/>
    <w:rsid w:val="1A083564"/>
    <w:rsid w:val="1A1F489C"/>
    <w:rsid w:val="1A29050A"/>
    <w:rsid w:val="1A30225F"/>
    <w:rsid w:val="1A343E7C"/>
    <w:rsid w:val="1A464D20"/>
    <w:rsid w:val="1A4C31DF"/>
    <w:rsid w:val="1A4C49EA"/>
    <w:rsid w:val="1A577EE6"/>
    <w:rsid w:val="1A6A7B95"/>
    <w:rsid w:val="1A6C5042"/>
    <w:rsid w:val="1A8D7E17"/>
    <w:rsid w:val="1AC3711D"/>
    <w:rsid w:val="1ACD4855"/>
    <w:rsid w:val="1AF64643"/>
    <w:rsid w:val="1B085AA3"/>
    <w:rsid w:val="1B22560C"/>
    <w:rsid w:val="1B24783F"/>
    <w:rsid w:val="1B2A6B89"/>
    <w:rsid w:val="1B5F7887"/>
    <w:rsid w:val="1B632CB7"/>
    <w:rsid w:val="1B947F75"/>
    <w:rsid w:val="1BA0557A"/>
    <w:rsid w:val="1C263EE4"/>
    <w:rsid w:val="1C432D29"/>
    <w:rsid w:val="1C4335BC"/>
    <w:rsid w:val="1C5265DC"/>
    <w:rsid w:val="1C674FC5"/>
    <w:rsid w:val="1C94653A"/>
    <w:rsid w:val="1C9F78B3"/>
    <w:rsid w:val="1CBF00A8"/>
    <w:rsid w:val="1CBF39AE"/>
    <w:rsid w:val="1CD00E57"/>
    <w:rsid w:val="1D2C4B28"/>
    <w:rsid w:val="1D404BF3"/>
    <w:rsid w:val="1D464B3E"/>
    <w:rsid w:val="1D6C498A"/>
    <w:rsid w:val="1DB84C23"/>
    <w:rsid w:val="1DBD6D20"/>
    <w:rsid w:val="1DFD40E7"/>
    <w:rsid w:val="1E0E50D3"/>
    <w:rsid w:val="1E2B771B"/>
    <w:rsid w:val="1E4D06BA"/>
    <w:rsid w:val="1E6B35FD"/>
    <w:rsid w:val="1E770B4B"/>
    <w:rsid w:val="1E925B76"/>
    <w:rsid w:val="1EBF2823"/>
    <w:rsid w:val="1EC92084"/>
    <w:rsid w:val="1EF11D3A"/>
    <w:rsid w:val="1F137E07"/>
    <w:rsid w:val="1F7D0008"/>
    <w:rsid w:val="1F8B0388"/>
    <w:rsid w:val="1F98721F"/>
    <w:rsid w:val="1F9B6D11"/>
    <w:rsid w:val="1FB3709F"/>
    <w:rsid w:val="1FC274A3"/>
    <w:rsid w:val="1FC75F8F"/>
    <w:rsid w:val="1FEA1782"/>
    <w:rsid w:val="1FF34B78"/>
    <w:rsid w:val="201A597B"/>
    <w:rsid w:val="2042476C"/>
    <w:rsid w:val="20454417"/>
    <w:rsid w:val="2068460B"/>
    <w:rsid w:val="206D416C"/>
    <w:rsid w:val="2091216C"/>
    <w:rsid w:val="20CB6080"/>
    <w:rsid w:val="20D22859"/>
    <w:rsid w:val="20DF2ACF"/>
    <w:rsid w:val="20E43174"/>
    <w:rsid w:val="21244FF1"/>
    <w:rsid w:val="21482016"/>
    <w:rsid w:val="214D03AC"/>
    <w:rsid w:val="215D7E34"/>
    <w:rsid w:val="215F7929"/>
    <w:rsid w:val="21692903"/>
    <w:rsid w:val="216B7501"/>
    <w:rsid w:val="21707D6E"/>
    <w:rsid w:val="21A02AD9"/>
    <w:rsid w:val="21A56F0F"/>
    <w:rsid w:val="21C82DCA"/>
    <w:rsid w:val="222A5E8D"/>
    <w:rsid w:val="22553577"/>
    <w:rsid w:val="229338F6"/>
    <w:rsid w:val="22A96D45"/>
    <w:rsid w:val="22F52DED"/>
    <w:rsid w:val="22F65A69"/>
    <w:rsid w:val="230122CC"/>
    <w:rsid w:val="230B44CF"/>
    <w:rsid w:val="23297221"/>
    <w:rsid w:val="233F63BE"/>
    <w:rsid w:val="23445839"/>
    <w:rsid w:val="234D62D0"/>
    <w:rsid w:val="236501F9"/>
    <w:rsid w:val="236C65D3"/>
    <w:rsid w:val="237B52C7"/>
    <w:rsid w:val="23A505DF"/>
    <w:rsid w:val="23AE741E"/>
    <w:rsid w:val="23B512B9"/>
    <w:rsid w:val="23CB4A9E"/>
    <w:rsid w:val="23CF7BC2"/>
    <w:rsid w:val="23EC4F1A"/>
    <w:rsid w:val="24097F40"/>
    <w:rsid w:val="24732E33"/>
    <w:rsid w:val="247B4C8B"/>
    <w:rsid w:val="248B4A9E"/>
    <w:rsid w:val="24AA7C21"/>
    <w:rsid w:val="25321F85"/>
    <w:rsid w:val="25351B98"/>
    <w:rsid w:val="258A53C5"/>
    <w:rsid w:val="25A14974"/>
    <w:rsid w:val="260E2F7F"/>
    <w:rsid w:val="264375BA"/>
    <w:rsid w:val="26464B95"/>
    <w:rsid w:val="269F02D8"/>
    <w:rsid w:val="26A3353F"/>
    <w:rsid w:val="26B2609C"/>
    <w:rsid w:val="26E16020"/>
    <w:rsid w:val="26EF5C0F"/>
    <w:rsid w:val="26F657E2"/>
    <w:rsid w:val="27473C50"/>
    <w:rsid w:val="274B2FBB"/>
    <w:rsid w:val="27721A5C"/>
    <w:rsid w:val="277342DC"/>
    <w:rsid w:val="27A328EB"/>
    <w:rsid w:val="27A46EC2"/>
    <w:rsid w:val="27AD509C"/>
    <w:rsid w:val="27B43411"/>
    <w:rsid w:val="27BF289A"/>
    <w:rsid w:val="27C1048A"/>
    <w:rsid w:val="27E24EBE"/>
    <w:rsid w:val="28150816"/>
    <w:rsid w:val="2824307A"/>
    <w:rsid w:val="28274D2B"/>
    <w:rsid w:val="282E0284"/>
    <w:rsid w:val="28444B8C"/>
    <w:rsid w:val="287C3101"/>
    <w:rsid w:val="28863244"/>
    <w:rsid w:val="289713B5"/>
    <w:rsid w:val="289F70D7"/>
    <w:rsid w:val="28A0280A"/>
    <w:rsid w:val="28EF714B"/>
    <w:rsid w:val="28FF7C58"/>
    <w:rsid w:val="293A1198"/>
    <w:rsid w:val="29492725"/>
    <w:rsid w:val="296A1F1C"/>
    <w:rsid w:val="29757E15"/>
    <w:rsid w:val="29871720"/>
    <w:rsid w:val="29D50326"/>
    <w:rsid w:val="29E41B1F"/>
    <w:rsid w:val="29FF36A7"/>
    <w:rsid w:val="2A1B108F"/>
    <w:rsid w:val="2A1F35E6"/>
    <w:rsid w:val="2A5A687B"/>
    <w:rsid w:val="2A761627"/>
    <w:rsid w:val="2AC079AB"/>
    <w:rsid w:val="2AD540E9"/>
    <w:rsid w:val="2AD63F5A"/>
    <w:rsid w:val="2AE47058"/>
    <w:rsid w:val="2B0F6454"/>
    <w:rsid w:val="2B256311"/>
    <w:rsid w:val="2B3E4D31"/>
    <w:rsid w:val="2B3F6AC7"/>
    <w:rsid w:val="2B5A7A3A"/>
    <w:rsid w:val="2B5B6E8F"/>
    <w:rsid w:val="2B6F6D67"/>
    <w:rsid w:val="2B831ECF"/>
    <w:rsid w:val="2B862A94"/>
    <w:rsid w:val="2B8E1A3B"/>
    <w:rsid w:val="2B9200C0"/>
    <w:rsid w:val="2B9C37A6"/>
    <w:rsid w:val="2BB6022D"/>
    <w:rsid w:val="2BBC4395"/>
    <w:rsid w:val="2BF0198A"/>
    <w:rsid w:val="2BF24BD3"/>
    <w:rsid w:val="2C4F7638"/>
    <w:rsid w:val="2C64085B"/>
    <w:rsid w:val="2C773A99"/>
    <w:rsid w:val="2C820F7D"/>
    <w:rsid w:val="2C8B469A"/>
    <w:rsid w:val="2C8E024C"/>
    <w:rsid w:val="2C96160F"/>
    <w:rsid w:val="2CA86736"/>
    <w:rsid w:val="2CD00594"/>
    <w:rsid w:val="2CD468F5"/>
    <w:rsid w:val="2D090486"/>
    <w:rsid w:val="2D152143"/>
    <w:rsid w:val="2D174BF7"/>
    <w:rsid w:val="2D262BE9"/>
    <w:rsid w:val="2D641A83"/>
    <w:rsid w:val="2D655CFC"/>
    <w:rsid w:val="2DBB3C29"/>
    <w:rsid w:val="2DC22EE4"/>
    <w:rsid w:val="2DC57372"/>
    <w:rsid w:val="2DF44BA5"/>
    <w:rsid w:val="2E143585"/>
    <w:rsid w:val="2E267E28"/>
    <w:rsid w:val="2E5A65D3"/>
    <w:rsid w:val="2E824049"/>
    <w:rsid w:val="2E846361"/>
    <w:rsid w:val="2EAE6378"/>
    <w:rsid w:val="2EB7417A"/>
    <w:rsid w:val="2EBF2DC6"/>
    <w:rsid w:val="2EE56B5D"/>
    <w:rsid w:val="2EF6113B"/>
    <w:rsid w:val="2F0343D4"/>
    <w:rsid w:val="2F236E7C"/>
    <w:rsid w:val="2F3433E0"/>
    <w:rsid w:val="2F4166C9"/>
    <w:rsid w:val="2F4D0C61"/>
    <w:rsid w:val="2F8E6E52"/>
    <w:rsid w:val="2F930C3A"/>
    <w:rsid w:val="2F972C4F"/>
    <w:rsid w:val="2FD273BF"/>
    <w:rsid w:val="30186B40"/>
    <w:rsid w:val="30294B76"/>
    <w:rsid w:val="302E0AEA"/>
    <w:rsid w:val="30500269"/>
    <w:rsid w:val="306124D5"/>
    <w:rsid w:val="3078510E"/>
    <w:rsid w:val="30831AB9"/>
    <w:rsid w:val="30B670D5"/>
    <w:rsid w:val="30E60650"/>
    <w:rsid w:val="30E86C3E"/>
    <w:rsid w:val="31273B79"/>
    <w:rsid w:val="313A14DA"/>
    <w:rsid w:val="314D0EA1"/>
    <w:rsid w:val="31875F78"/>
    <w:rsid w:val="318F6025"/>
    <w:rsid w:val="31935CF1"/>
    <w:rsid w:val="31A1481C"/>
    <w:rsid w:val="31AC7A26"/>
    <w:rsid w:val="31B65C11"/>
    <w:rsid w:val="31C93F59"/>
    <w:rsid w:val="31C97E21"/>
    <w:rsid w:val="31D77918"/>
    <w:rsid w:val="31DC7B7E"/>
    <w:rsid w:val="31E635BC"/>
    <w:rsid w:val="32363E7A"/>
    <w:rsid w:val="3256174C"/>
    <w:rsid w:val="32772E51"/>
    <w:rsid w:val="329311DF"/>
    <w:rsid w:val="32A75C11"/>
    <w:rsid w:val="32F41947"/>
    <w:rsid w:val="33057B6B"/>
    <w:rsid w:val="332B4A07"/>
    <w:rsid w:val="33307D6A"/>
    <w:rsid w:val="33427C2E"/>
    <w:rsid w:val="336E4C8C"/>
    <w:rsid w:val="342361EF"/>
    <w:rsid w:val="347245FE"/>
    <w:rsid w:val="347A2508"/>
    <w:rsid w:val="348F3C27"/>
    <w:rsid w:val="34A40876"/>
    <w:rsid w:val="34C512A0"/>
    <w:rsid w:val="34E6080D"/>
    <w:rsid w:val="352C6CC7"/>
    <w:rsid w:val="35687BE5"/>
    <w:rsid w:val="35696232"/>
    <w:rsid w:val="35985C5C"/>
    <w:rsid w:val="35B5474F"/>
    <w:rsid w:val="35D55F2F"/>
    <w:rsid w:val="361B1C1A"/>
    <w:rsid w:val="361F3B7D"/>
    <w:rsid w:val="36330084"/>
    <w:rsid w:val="36370C5B"/>
    <w:rsid w:val="36590423"/>
    <w:rsid w:val="36826EBC"/>
    <w:rsid w:val="36CF36EC"/>
    <w:rsid w:val="36D516F9"/>
    <w:rsid w:val="36E40584"/>
    <w:rsid w:val="36E9062A"/>
    <w:rsid w:val="37007E2D"/>
    <w:rsid w:val="3719341A"/>
    <w:rsid w:val="378B0037"/>
    <w:rsid w:val="379578FC"/>
    <w:rsid w:val="379E0AF3"/>
    <w:rsid w:val="37DE13D1"/>
    <w:rsid w:val="37E76E31"/>
    <w:rsid w:val="3807013A"/>
    <w:rsid w:val="38095FBC"/>
    <w:rsid w:val="38283356"/>
    <w:rsid w:val="38334C94"/>
    <w:rsid w:val="384F27F7"/>
    <w:rsid w:val="384F488D"/>
    <w:rsid w:val="385B5588"/>
    <w:rsid w:val="3868048C"/>
    <w:rsid w:val="388E6F01"/>
    <w:rsid w:val="38A2666C"/>
    <w:rsid w:val="38B02F08"/>
    <w:rsid w:val="38B93F34"/>
    <w:rsid w:val="393718AD"/>
    <w:rsid w:val="396B7D9E"/>
    <w:rsid w:val="398A5DB0"/>
    <w:rsid w:val="398B656B"/>
    <w:rsid w:val="39C06ABA"/>
    <w:rsid w:val="3A0C46A7"/>
    <w:rsid w:val="3A2B2A5E"/>
    <w:rsid w:val="3A2C1A48"/>
    <w:rsid w:val="3A3F4CA3"/>
    <w:rsid w:val="3A4523C6"/>
    <w:rsid w:val="3AE9195E"/>
    <w:rsid w:val="3AF34896"/>
    <w:rsid w:val="3B143E75"/>
    <w:rsid w:val="3B345A8D"/>
    <w:rsid w:val="3B42042F"/>
    <w:rsid w:val="3B435E20"/>
    <w:rsid w:val="3B4A20E3"/>
    <w:rsid w:val="3B4E1D2A"/>
    <w:rsid w:val="3B567E4D"/>
    <w:rsid w:val="3BB61117"/>
    <w:rsid w:val="3BBC3C2B"/>
    <w:rsid w:val="3BBE5130"/>
    <w:rsid w:val="3BC47C08"/>
    <w:rsid w:val="3BF00E47"/>
    <w:rsid w:val="3BF73096"/>
    <w:rsid w:val="3C003960"/>
    <w:rsid w:val="3C143727"/>
    <w:rsid w:val="3C1B4191"/>
    <w:rsid w:val="3C52598E"/>
    <w:rsid w:val="3C585409"/>
    <w:rsid w:val="3C655958"/>
    <w:rsid w:val="3C84652F"/>
    <w:rsid w:val="3CB556A8"/>
    <w:rsid w:val="3CC11397"/>
    <w:rsid w:val="3CD21FA2"/>
    <w:rsid w:val="3CF03D37"/>
    <w:rsid w:val="3D2B62AD"/>
    <w:rsid w:val="3D6A59AF"/>
    <w:rsid w:val="3D764AF5"/>
    <w:rsid w:val="3D8E288F"/>
    <w:rsid w:val="3DF07D44"/>
    <w:rsid w:val="3DF62B11"/>
    <w:rsid w:val="3E1B44CD"/>
    <w:rsid w:val="3E4402F0"/>
    <w:rsid w:val="3E471DF5"/>
    <w:rsid w:val="3E675284"/>
    <w:rsid w:val="3E746F43"/>
    <w:rsid w:val="3E754E86"/>
    <w:rsid w:val="3EBD48A0"/>
    <w:rsid w:val="3EEC75DA"/>
    <w:rsid w:val="3F057406"/>
    <w:rsid w:val="3F4E6FB0"/>
    <w:rsid w:val="3F6C4266"/>
    <w:rsid w:val="3F7334B7"/>
    <w:rsid w:val="3F7D1B4D"/>
    <w:rsid w:val="3F7D21D6"/>
    <w:rsid w:val="3FA96749"/>
    <w:rsid w:val="3FBE233A"/>
    <w:rsid w:val="3FCF007A"/>
    <w:rsid w:val="3FD628AE"/>
    <w:rsid w:val="3FDA071C"/>
    <w:rsid w:val="3FEF6F13"/>
    <w:rsid w:val="40023475"/>
    <w:rsid w:val="400640FA"/>
    <w:rsid w:val="402D3698"/>
    <w:rsid w:val="404A286F"/>
    <w:rsid w:val="4073189B"/>
    <w:rsid w:val="40731C3E"/>
    <w:rsid w:val="40754423"/>
    <w:rsid w:val="407E3A9A"/>
    <w:rsid w:val="40915293"/>
    <w:rsid w:val="40B3591C"/>
    <w:rsid w:val="40BF7450"/>
    <w:rsid w:val="40D46B16"/>
    <w:rsid w:val="40DA0F1D"/>
    <w:rsid w:val="410C53BB"/>
    <w:rsid w:val="411957F6"/>
    <w:rsid w:val="413A156C"/>
    <w:rsid w:val="415D2C25"/>
    <w:rsid w:val="416040EC"/>
    <w:rsid w:val="41800209"/>
    <w:rsid w:val="418C046A"/>
    <w:rsid w:val="41955B94"/>
    <w:rsid w:val="419B000C"/>
    <w:rsid w:val="41C812C8"/>
    <w:rsid w:val="41D156FD"/>
    <w:rsid w:val="41EE3E80"/>
    <w:rsid w:val="41F5649E"/>
    <w:rsid w:val="42194804"/>
    <w:rsid w:val="422D01CC"/>
    <w:rsid w:val="42436286"/>
    <w:rsid w:val="42447E88"/>
    <w:rsid w:val="42520610"/>
    <w:rsid w:val="42746E43"/>
    <w:rsid w:val="42BC4B21"/>
    <w:rsid w:val="42C74B0D"/>
    <w:rsid w:val="42D82F79"/>
    <w:rsid w:val="42E118D0"/>
    <w:rsid w:val="43547823"/>
    <w:rsid w:val="4355462D"/>
    <w:rsid w:val="43707EA6"/>
    <w:rsid w:val="43793A08"/>
    <w:rsid w:val="438A7FCE"/>
    <w:rsid w:val="4391397D"/>
    <w:rsid w:val="43D95CF3"/>
    <w:rsid w:val="43E224AC"/>
    <w:rsid w:val="440D407E"/>
    <w:rsid w:val="44752916"/>
    <w:rsid w:val="448D3EAD"/>
    <w:rsid w:val="44913D2B"/>
    <w:rsid w:val="449F004C"/>
    <w:rsid w:val="44F85FED"/>
    <w:rsid w:val="44FF3FCA"/>
    <w:rsid w:val="45171A0C"/>
    <w:rsid w:val="452611F4"/>
    <w:rsid w:val="456D547B"/>
    <w:rsid w:val="45876D01"/>
    <w:rsid w:val="45BA0597"/>
    <w:rsid w:val="460555E7"/>
    <w:rsid w:val="46121F9B"/>
    <w:rsid w:val="462764FE"/>
    <w:rsid w:val="4634735A"/>
    <w:rsid w:val="465504BD"/>
    <w:rsid w:val="465E22CE"/>
    <w:rsid w:val="46957E21"/>
    <w:rsid w:val="46DD55C6"/>
    <w:rsid w:val="46F72CB8"/>
    <w:rsid w:val="47017D95"/>
    <w:rsid w:val="47024794"/>
    <w:rsid w:val="470A6E85"/>
    <w:rsid w:val="47132C04"/>
    <w:rsid w:val="472537F3"/>
    <w:rsid w:val="47287E2E"/>
    <w:rsid w:val="472B1591"/>
    <w:rsid w:val="47363427"/>
    <w:rsid w:val="47466CF7"/>
    <w:rsid w:val="475D3907"/>
    <w:rsid w:val="476B243C"/>
    <w:rsid w:val="47813A0F"/>
    <w:rsid w:val="47B63676"/>
    <w:rsid w:val="47B85BC0"/>
    <w:rsid w:val="47BA62C6"/>
    <w:rsid w:val="47E7170B"/>
    <w:rsid w:val="47EB0D79"/>
    <w:rsid w:val="47F04FCE"/>
    <w:rsid w:val="47FE067C"/>
    <w:rsid w:val="48086719"/>
    <w:rsid w:val="481B16C8"/>
    <w:rsid w:val="485076F5"/>
    <w:rsid w:val="4876374B"/>
    <w:rsid w:val="489F2C39"/>
    <w:rsid w:val="48CF1C19"/>
    <w:rsid w:val="48D424F9"/>
    <w:rsid w:val="490472A4"/>
    <w:rsid w:val="49226C18"/>
    <w:rsid w:val="49260401"/>
    <w:rsid w:val="493808DD"/>
    <w:rsid w:val="497209AD"/>
    <w:rsid w:val="497E017F"/>
    <w:rsid w:val="498A1337"/>
    <w:rsid w:val="499C10C7"/>
    <w:rsid w:val="49E6364B"/>
    <w:rsid w:val="49E72732"/>
    <w:rsid w:val="4A0B2D99"/>
    <w:rsid w:val="4A2268EE"/>
    <w:rsid w:val="4A507522"/>
    <w:rsid w:val="4A7C2187"/>
    <w:rsid w:val="4A8D240F"/>
    <w:rsid w:val="4A9C2B68"/>
    <w:rsid w:val="4AE720B1"/>
    <w:rsid w:val="4B064C1F"/>
    <w:rsid w:val="4B075B69"/>
    <w:rsid w:val="4B0E233B"/>
    <w:rsid w:val="4B323710"/>
    <w:rsid w:val="4B457E0D"/>
    <w:rsid w:val="4BB25647"/>
    <w:rsid w:val="4BDC403A"/>
    <w:rsid w:val="4BF9333D"/>
    <w:rsid w:val="4C2B7A12"/>
    <w:rsid w:val="4C3D2FC9"/>
    <w:rsid w:val="4C957E0D"/>
    <w:rsid w:val="4CBB02EB"/>
    <w:rsid w:val="4CD22419"/>
    <w:rsid w:val="4CD85E72"/>
    <w:rsid w:val="4CDB79B2"/>
    <w:rsid w:val="4D0C2E02"/>
    <w:rsid w:val="4D2F48A6"/>
    <w:rsid w:val="4D603356"/>
    <w:rsid w:val="4D674633"/>
    <w:rsid w:val="4D730C5E"/>
    <w:rsid w:val="4DA207A5"/>
    <w:rsid w:val="4DBE574D"/>
    <w:rsid w:val="4DDE2C6F"/>
    <w:rsid w:val="4E000623"/>
    <w:rsid w:val="4E014453"/>
    <w:rsid w:val="4E1A2EA6"/>
    <w:rsid w:val="4E254198"/>
    <w:rsid w:val="4E30277C"/>
    <w:rsid w:val="4E3B1C20"/>
    <w:rsid w:val="4E521F2B"/>
    <w:rsid w:val="4E5D2DC9"/>
    <w:rsid w:val="4E6F038F"/>
    <w:rsid w:val="4E7B2F51"/>
    <w:rsid w:val="4EB040E0"/>
    <w:rsid w:val="4EBC1DC2"/>
    <w:rsid w:val="4EBD24ED"/>
    <w:rsid w:val="4EE262C1"/>
    <w:rsid w:val="4EEB709A"/>
    <w:rsid w:val="4F162094"/>
    <w:rsid w:val="4F206774"/>
    <w:rsid w:val="4F375C06"/>
    <w:rsid w:val="4F3A5D7D"/>
    <w:rsid w:val="4F575BCE"/>
    <w:rsid w:val="4F7A18AA"/>
    <w:rsid w:val="4FBD2A58"/>
    <w:rsid w:val="50142B83"/>
    <w:rsid w:val="5016319E"/>
    <w:rsid w:val="50606DD9"/>
    <w:rsid w:val="506F056F"/>
    <w:rsid w:val="50AC517F"/>
    <w:rsid w:val="511376B7"/>
    <w:rsid w:val="51515934"/>
    <w:rsid w:val="51600EE6"/>
    <w:rsid w:val="517D0A65"/>
    <w:rsid w:val="51A203E7"/>
    <w:rsid w:val="51AB242B"/>
    <w:rsid w:val="51C62F3D"/>
    <w:rsid w:val="51D90A69"/>
    <w:rsid w:val="51FF0E92"/>
    <w:rsid w:val="522876BA"/>
    <w:rsid w:val="52304D9C"/>
    <w:rsid w:val="52524E7F"/>
    <w:rsid w:val="52614B80"/>
    <w:rsid w:val="527841E5"/>
    <w:rsid w:val="52821EBE"/>
    <w:rsid w:val="528315F7"/>
    <w:rsid w:val="52880E4B"/>
    <w:rsid w:val="52D7605A"/>
    <w:rsid w:val="52E30A9C"/>
    <w:rsid w:val="52F80081"/>
    <w:rsid w:val="53386F4C"/>
    <w:rsid w:val="53483D99"/>
    <w:rsid w:val="534C580A"/>
    <w:rsid w:val="536B1F4A"/>
    <w:rsid w:val="536F43DB"/>
    <w:rsid w:val="53B20A75"/>
    <w:rsid w:val="53BD12A7"/>
    <w:rsid w:val="53C03186"/>
    <w:rsid w:val="53DA74CB"/>
    <w:rsid w:val="53E158B4"/>
    <w:rsid w:val="540D4A02"/>
    <w:rsid w:val="5418584C"/>
    <w:rsid w:val="54457479"/>
    <w:rsid w:val="545358B5"/>
    <w:rsid w:val="547E5036"/>
    <w:rsid w:val="547E5AB0"/>
    <w:rsid w:val="54B8461F"/>
    <w:rsid w:val="54D160F9"/>
    <w:rsid w:val="54F17312"/>
    <w:rsid w:val="550F3169"/>
    <w:rsid w:val="558079C6"/>
    <w:rsid w:val="55AC4DE7"/>
    <w:rsid w:val="55B92EEC"/>
    <w:rsid w:val="55DF6D7B"/>
    <w:rsid w:val="55E0237C"/>
    <w:rsid w:val="5611528C"/>
    <w:rsid w:val="562E29D8"/>
    <w:rsid w:val="5659122A"/>
    <w:rsid w:val="567727DA"/>
    <w:rsid w:val="567A564E"/>
    <w:rsid w:val="56A3462D"/>
    <w:rsid w:val="56C25B1C"/>
    <w:rsid w:val="56DB14D1"/>
    <w:rsid w:val="56E87784"/>
    <w:rsid w:val="56F45E1B"/>
    <w:rsid w:val="571D509B"/>
    <w:rsid w:val="573340D2"/>
    <w:rsid w:val="57451E61"/>
    <w:rsid w:val="575D1956"/>
    <w:rsid w:val="577108CB"/>
    <w:rsid w:val="579049C1"/>
    <w:rsid w:val="57A5320A"/>
    <w:rsid w:val="57F97E09"/>
    <w:rsid w:val="580C420C"/>
    <w:rsid w:val="5810253C"/>
    <w:rsid w:val="583D44F2"/>
    <w:rsid w:val="585627BC"/>
    <w:rsid w:val="585703AC"/>
    <w:rsid w:val="586D71AB"/>
    <w:rsid w:val="58AA7415"/>
    <w:rsid w:val="58B60783"/>
    <w:rsid w:val="58FC1685"/>
    <w:rsid w:val="59023BB2"/>
    <w:rsid w:val="593C5CA5"/>
    <w:rsid w:val="594F7BC0"/>
    <w:rsid w:val="59702FDF"/>
    <w:rsid w:val="59911936"/>
    <w:rsid w:val="59C958A6"/>
    <w:rsid w:val="59CE0B33"/>
    <w:rsid w:val="59E95182"/>
    <w:rsid w:val="59F06A45"/>
    <w:rsid w:val="59F53922"/>
    <w:rsid w:val="5A5C1F72"/>
    <w:rsid w:val="5A6A6E80"/>
    <w:rsid w:val="5A7F2CEA"/>
    <w:rsid w:val="5A826296"/>
    <w:rsid w:val="5AAA1444"/>
    <w:rsid w:val="5AC712B6"/>
    <w:rsid w:val="5AEA652F"/>
    <w:rsid w:val="5B350C27"/>
    <w:rsid w:val="5B3D2B46"/>
    <w:rsid w:val="5B5B17D0"/>
    <w:rsid w:val="5B703364"/>
    <w:rsid w:val="5BBC5728"/>
    <w:rsid w:val="5BE64AB3"/>
    <w:rsid w:val="5BF81D7C"/>
    <w:rsid w:val="5BFC4304"/>
    <w:rsid w:val="5C0A2EA0"/>
    <w:rsid w:val="5C455655"/>
    <w:rsid w:val="5C5E6AFB"/>
    <w:rsid w:val="5C640641"/>
    <w:rsid w:val="5C941A7E"/>
    <w:rsid w:val="5CBF55AC"/>
    <w:rsid w:val="5CD4231C"/>
    <w:rsid w:val="5CDA2ECA"/>
    <w:rsid w:val="5D064E83"/>
    <w:rsid w:val="5D0740BC"/>
    <w:rsid w:val="5D18357C"/>
    <w:rsid w:val="5D3A475F"/>
    <w:rsid w:val="5D65799F"/>
    <w:rsid w:val="5D9B3AF5"/>
    <w:rsid w:val="5DA976CA"/>
    <w:rsid w:val="5DB73EF1"/>
    <w:rsid w:val="5DBF563D"/>
    <w:rsid w:val="5DC31413"/>
    <w:rsid w:val="5E392F95"/>
    <w:rsid w:val="5E4A6678"/>
    <w:rsid w:val="5E945C27"/>
    <w:rsid w:val="5EAF6339"/>
    <w:rsid w:val="5EDF3E3E"/>
    <w:rsid w:val="5F1B5F8F"/>
    <w:rsid w:val="5F2C3032"/>
    <w:rsid w:val="5F2F6FDD"/>
    <w:rsid w:val="5F644AA6"/>
    <w:rsid w:val="5F663902"/>
    <w:rsid w:val="5F7A359C"/>
    <w:rsid w:val="5F931955"/>
    <w:rsid w:val="5FDE10CE"/>
    <w:rsid w:val="5FFA349F"/>
    <w:rsid w:val="60143973"/>
    <w:rsid w:val="601A2715"/>
    <w:rsid w:val="60290051"/>
    <w:rsid w:val="608A6105"/>
    <w:rsid w:val="60937090"/>
    <w:rsid w:val="609E0258"/>
    <w:rsid w:val="60A1755B"/>
    <w:rsid w:val="60B9494F"/>
    <w:rsid w:val="60CA4026"/>
    <w:rsid w:val="60D243AF"/>
    <w:rsid w:val="60FF1ECA"/>
    <w:rsid w:val="61196E5B"/>
    <w:rsid w:val="61210BF0"/>
    <w:rsid w:val="61266123"/>
    <w:rsid w:val="614A5885"/>
    <w:rsid w:val="617657E5"/>
    <w:rsid w:val="617C1E04"/>
    <w:rsid w:val="6180391D"/>
    <w:rsid w:val="619F1E1B"/>
    <w:rsid w:val="61A82B91"/>
    <w:rsid w:val="61B8057C"/>
    <w:rsid w:val="61D66201"/>
    <w:rsid w:val="61F071A0"/>
    <w:rsid w:val="61F7192A"/>
    <w:rsid w:val="620C2AC7"/>
    <w:rsid w:val="621858D2"/>
    <w:rsid w:val="622C4953"/>
    <w:rsid w:val="625D0E7A"/>
    <w:rsid w:val="62C01024"/>
    <w:rsid w:val="62E80B3E"/>
    <w:rsid w:val="62F67463"/>
    <w:rsid w:val="63155210"/>
    <w:rsid w:val="633731A8"/>
    <w:rsid w:val="63414C60"/>
    <w:rsid w:val="634521B7"/>
    <w:rsid w:val="638B7F7B"/>
    <w:rsid w:val="63AF5999"/>
    <w:rsid w:val="63D55264"/>
    <w:rsid w:val="63EF363C"/>
    <w:rsid w:val="63F47CA2"/>
    <w:rsid w:val="640551A8"/>
    <w:rsid w:val="640C12C1"/>
    <w:rsid w:val="64192E10"/>
    <w:rsid w:val="644432B7"/>
    <w:rsid w:val="644B5306"/>
    <w:rsid w:val="6468439C"/>
    <w:rsid w:val="647C33F8"/>
    <w:rsid w:val="648B7F66"/>
    <w:rsid w:val="64954D31"/>
    <w:rsid w:val="64B46C3A"/>
    <w:rsid w:val="64B948BE"/>
    <w:rsid w:val="657B16AE"/>
    <w:rsid w:val="65AA3E90"/>
    <w:rsid w:val="65D74567"/>
    <w:rsid w:val="6618107D"/>
    <w:rsid w:val="6621318A"/>
    <w:rsid w:val="66601FCA"/>
    <w:rsid w:val="666668E7"/>
    <w:rsid w:val="666C03DB"/>
    <w:rsid w:val="66C23AD0"/>
    <w:rsid w:val="66C949B8"/>
    <w:rsid w:val="66FA3B4D"/>
    <w:rsid w:val="671245B9"/>
    <w:rsid w:val="673968D5"/>
    <w:rsid w:val="673F648E"/>
    <w:rsid w:val="67B943EA"/>
    <w:rsid w:val="67E92CE0"/>
    <w:rsid w:val="67EE4A91"/>
    <w:rsid w:val="68224544"/>
    <w:rsid w:val="6828325F"/>
    <w:rsid w:val="68322C5C"/>
    <w:rsid w:val="683C7640"/>
    <w:rsid w:val="683E5C37"/>
    <w:rsid w:val="685876AA"/>
    <w:rsid w:val="68880DF4"/>
    <w:rsid w:val="68A329D3"/>
    <w:rsid w:val="68A72F42"/>
    <w:rsid w:val="68B86F93"/>
    <w:rsid w:val="68C27985"/>
    <w:rsid w:val="68C768F0"/>
    <w:rsid w:val="68D87D56"/>
    <w:rsid w:val="68F644FC"/>
    <w:rsid w:val="69007010"/>
    <w:rsid w:val="692E6328"/>
    <w:rsid w:val="693B0BD6"/>
    <w:rsid w:val="69447F13"/>
    <w:rsid w:val="694A7DA4"/>
    <w:rsid w:val="69614F95"/>
    <w:rsid w:val="6974335A"/>
    <w:rsid w:val="69834FAB"/>
    <w:rsid w:val="698B46D1"/>
    <w:rsid w:val="69957F29"/>
    <w:rsid w:val="69B22CAB"/>
    <w:rsid w:val="69EB722F"/>
    <w:rsid w:val="69F500AF"/>
    <w:rsid w:val="6A0763D7"/>
    <w:rsid w:val="6A407068"/>
    <w:rsid w:val="6A46697A"/>
    <w:rsid w:val="6A477249"/>
    <w:rsid w:val="6A5D06F9"/>
    <w:rsid w:val="6A8261AF"/>
    <w:rsid w:val="6A9F6F8E"/>
    <w:rsid w:val="6AAC1229"/>
    <w:rsid w:val="6AC007D7"/>
    <w:rsid w:val="6AD67358"/>
    <w:rsid w:val="6B5A3EB9"/>
    <w:rsid w:val="6B5F7A53"/>
    <w:rsid w:val="6B706AC6"/>
    <w:rsid w:val="6B746B4B"/>
    <w:rsid w:val="6BAA7A57"/>
    <w:rsid w:val="6BF87955"/>
    <w:rsid w:val="6C0F4133"/>
    <w:rsid w:val="6C2464B4"/>
    <w:rsid w:val="6C330F6F"/>
    <w:rsid w:val="6C437FB4"/>
    <w:rsid w:val="6C500F89"/>
    <w:rsid w:val="6C805A99"/>
    <w:rsid w:val="6C91770C"/>
    <w:rsid w:val="6CC13775"/>
    <w:rsid w:val="6D0D43A2"/>
    <w:rsid w:val="6D1850EC"/>
    <w:rsid w:val="6D22037B"/>
    <w:rsid w:val="6D9A256A"/>
    <w:rsid w:val="6DAA1DE1"/>
    <w:rsid w:val="6DAA75A6"/>
    <w:rsid w:val="6DDD47EC"/>
    <w:rsid w:val="6DE31F24"/>
    <w:rsid w:val="6DE55983"/>
    <w:rsid w:val="6DF32CD4"/>
    <w:rsid w:val="6E0F428C"/>
    <w:rsid w:val="6E451B91"/>
    <w:rsid w:val="6E6A17F4"/>
    <w:rsid w:val="6EB677F3"/>
    <w:rsid w:val="6EF43AD9"/>
    <w:rsid w:val="6F132F01"/>
    <w:rsid w:val="6F20143A"/>
    <w:rsid w:val="6F2E0860"/>
    <w:rsid w:val="6F2F4BE0"/>
    <w:rsid w:val="6F46372D"/>
    <w:rsid w:val="6F487E07"/>
    <w:rsid w:val="6F831EC4"/>
    <w:rsid w:val="6FA677AE"/>
    <w:rsid w:val="6FD27E75"/>
    <w:rsid w:val="6FD977A7"/>
    <w:rsid w:val="6FE34D0C"/>
    <w:rsid w:val="700038D6"/>
    <w:rsid w:val="70101592"/>
    <w:rsid w:val="70114FE2"/>
    <w:rsid w:val="704C4B75"/>
    <w:rsid w:val="704D12E2"/>
    <w:rsid w:val="705F1B20"/>
    <w:rsid w:val="70777D26"/>
    <w:rsid w:val="70CB25C1"/>
    <w:rsid w:val="71107F02"/>
    <w:rsid w:val="713071F5"/>
    <w:rsid w:val="71396738"/>
    <w:rsid w:val="717B4ADA"/>
    <w:rsid w:val="717C5EEA"/>
    <w:rsid w:val="7193728C"/>
    <w:rsid w:val="719B243A"/>
    <w:rsid w:val="71AD5BE8"/>
    <w:rsid w:val="71C35C0C"/>
    <w:rsid w:val="71DA2CDB"/>
    <w:rsid w:val="721A1795"/>
    <w:rsid w:val="72A34B1B"/>
    <w:rsid w:val="72C871D3"/>
    <w:rsid w:val="72D52A20"/>
    <w:rsid w:val="72EB2FE6"/>
    <w:rsid w:val="72ED4D2D"/>
    <w:rsid w:val="72FA464E"/>
    <w:rsid w:val="7369276C"/>
    <w:rsid w:val="737119CF"/>
    <w:rsid w:val="73717BF2"/>
    <w:rsid w:val="73BB5EA0"/>
    <w:rsid w:val="73C547B1"/>
    <w:rsid w:val="73D02A73"/>
    <w:rsid w:val="73D77927"/>
    <w:rsid w:val="74183806"/>
    <w:rsid w:val="743947AC"/>
    <w:rsid w:val="743A1543"/>
    <w:rsid w:val="7447135C"/>
    <w:rsid w:val="744A7AC3"/>
    <w:rsid w:val="74523A17"/>
    <w:rsid w:val="74594929"/>
    <w:rsid w:val="747F2221"/>
    <w:rsid w:val="748D2EEF"/>
    <w:rsid w:val="74A443C6"/>
    <w:rsid w:val="74C1282B"/>
    <w:rsid w:val="74EE0533"/>
    <w:rsid w:val="7512223C"/>
    <w:rsid w:val="75503048"/>
    <w:rsid w:val="756A7047"/>
    <w:rsid w:val="75BC5E00"/>
    <w:rsid w:val="75D2147D"/>
    <w:rsid w:val="7631396C"/>
    <w:rsid w:val="76586F11"/>
    <w:rsid w:val="76626FA5"/>
    <w:rsid w:val="76730412"/>
    <w:rsid w:val="76851056"/>
    <w:rsid w:val="768E3D9B"/>
    <w:rsid w:val="76A644AD"/>
    <w:rsid w:val="76BD0099"/>
    <w:rsid w:val="76D44E8B"/>
    <w:rsid w:val="76F13FEE"/>
    <w:rsid w:val="76F90517"/>
    <w:rsid w:val="77022439"/>
    <w:rsid w:val="770F2CD8"/>
    <w:rsid w:val="773B2B8D"/>
    <w:rsid w:val="77B95A1F"/>
    <w:rsid w:val="781D6690"/>
    <w:rsid w:val="781E5070"/>
    <w:rsid w:val="78401C44"/>
    <w:rsid w:val="78644600"/>
    <w:rsid w:val="786759CD"/>
    <w:rsid w:val="78AF3F17"/>
    <w:rsid w:val="78F96E10"/>
    <w:rsid w:val="7911655A"/>
    <w:rsid w:val="7914719E"/>
    <w:rsid w:val="79466306"/>
    <w:rsid w:val="79466AB2"/>
    <w:rsid w:val="794E22F2"/>
    <w:rsid w:val="795D12FA"/>
    <w:rsid w:val="79604F14"/>
    <w:rsid w:val="796312F7"/>
    <w:rsid w:val="79A80E46"/>
    <w:rsid w:val="79CD07FA"/>
    <w:rsid w:val="79D47B04"/>
    <w:rsid w:val="7A1E0D74"/>
    <w:rsid w:val="7A2C09BC"/>
    <w:rsid w:val="7A5348A1"/>
    <w:rsid w:val="7A7119AD"/>
    <w:rsid w:val="7A84610D"/>
    <w:rsid w:val="7AD85477"/>
    <w:rsid w:val="7ADA1AF5"/>
    <w:rsid w:val="7AFA7BD7"/>
    <w:rsid w:val="7B0566A4"/>
    <w:rsid w:val="7B167038"/>
    <w:rsid w:val="7B352F1F"/>
    <w:rsid w:val="7B3D340C"/>
    <w:rsid w:val="7B490AC4"/>
    <w:rsid w:val="7B504FE1"/>
    <w:rsid w:val="7B513F6F"/>
    <w:rsid w:val="7B531796"/>
    <w:rsid w:val="7B53524E"/>
    <w:rsid w:val="7BA0186B"/>
    <w:rsid w:val="7BA9047C"/>
    <w:rsid w:val="7BAC4F23"/>
    <w:rsid w:val="7BBB017E"/>
    <w:rsid w:val="7BC464E7"/>
    <w:rsid w:val="7BE873BB"/>
    <w:rsid w:val="7BE963FD"/>
    <w:rsid w:val="7BF11C29"/>
    <w:rsid w:val="7C1036BF"/>
    <w:rsid w:val="7C107F38"/>
    <w:rsid w:val="7C275ABA"/>
    <w:rsid w:val="7C291354"/>
    <w:rsid w:val="7C295C47"/>
    <w:rsid w:val="7C305568"/>
    <w:rsid w:val="7C420E47"/>
    <w:rsid w:val="7C5917E2"/>
    <w:rsid w:val="7C5A11C9"/>
    <w:rsid w:val="7C6B4A43"/>
    <w:rsid w:val="7C7A2B72"/>
    <w:rsid w:val="7C904AA5"/>
    <w:rsid w:val="7CA67E0B"/>
    <w:rsid w:val="7CB93A60"/>
    <w:rsid w:val="7CE459BB"/>
    <w:rsid w:val="7CEA7717"/>
    <w:rsid w:val="7D04619D"/>
    <w:rsid w:val="7D246050"/>
    <w:rsid w:val="7D2647A2"/>
    <w:rsid w:val="7D6774A3"/>
    <w:rsid w:val="7D7421F4"/>
    <w:rsid w:val="7E074FEB"/>
    <w:rsid w:val="7E237159"/>
    <w:rsid w:val="7E524E03"/>
    <w:rsid w:val="7EAC1AB7"/>
    <w:rsid w:val="7EB20681"/>
    <w:rsid w:val="7EB6528F"/>
    <w:rsid w:val="7EBA4F65"/>
    <w:rsid w:val="7EC724C7"/>
    <w:rsid w:val="7ED44CF7"/>
    <w:rsid w:val="7EE91434"/>
    <w:rsid w:val="7F0C2C5D"/>
    <w:rsid w:val="7F2F6FF3"/>
    <w:rsid w:val="7F4469BF"/>
    <w:rsid w:val="7FA37732"/>
    <w:rsid w:val="7FBF5FF8"/>
    <w:rsid w:val="7FD73970"/>
    <w:rsid w:val="7FEE33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ocked="1"/>
    <w:lsdException w:qFormat="1" w:unhideWhenUsed="0" w:uiPriority="99" w:semiHidden="0" w:name="toc 2"/>
    <w:lsdException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20" w:lineRule="exact"/>
      <w:ind w:firstLine="883" w:firstLineChars="200"/>
    </w:pPr>
    <w:rPr>
      <w:rFonts w:ascii="Courier New" w:hAnsi="Courier New" w:eastAsia="宋体" w:cs="Courier New"/>
      <w:kern w:val="2"/>
      <w:sz w:val="28"/>
      <w:szCs w:val="28"/>
      <w:lang w:val="en-US" w:eastAsia="zh-CN" w:bidi="ar-SA"/>
    </w:rPr>
  </w:style>
  <w:style w:type="paragraph" w:styleId="3">
    <w:name w:val="heading 1"/>
    <w:basedOn w:val="1"/>
    <w:next w:val="1"/>
    <w:link w:val="17"/>
    <w:qFormat/>
    <w:uiPriority w:val="99"/>
    <w:pPr>
      <w:ind w:firstLine="0" w:firstLineChars="0"/>
      <w:outlineLvl w:val="0"/>
    </w:pPr>
    <w:rPr>
      <w:rFonts w:ascii="Cordia New" w:hAnsi="Cordia New" w:cs="黑体"/>
      <w:b/>
      <w:bCs/>
      <w:sz w:val="32"/>
      <w:szCs w:val="32"/>
      <w:lang w:val="zh-CN" w:bidi="th-TH"/>
    </w:rPr>
  </w:style>
  <w:style w:type="paragraph" w:styleId="4">
    <w:name w:val="heading 2"/>
    <w:basedOn w:val="1"/>
    <w:next w:val="1"/>
    <w:link w:val="18"/>
    <w:qFormat/>
    <w:uiPriority w:val="99"/>
    <w:pPr>
      <w:ind w:firstLine="0" w:firstLineChars="0"/>
      <w:outlineLvl w:val="1"/>
    </w:pPr>
    <w:rPr>
      <w:rFonts w:ascii="仿宋" w:hAnsi="仿宋" w:cs="仿宋"/>
      <w:b/>
      <w:bCs/>
      <w:sz w:val="30"/>
      <w:szCs w:val="30"/>
      <w:lang w:val="zh-CN"/>
    </w:rPr>
  </w:style>
  <w:style w:type="character" w:default="1" w:styleId="14">
    <w:name w:val="Default Paragraph Font"/>
    <w:semiHidden/>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styleId="5">
    <w:name w:val="Body Text"/>
    <w:basedOn w:val="1"/>
    <w:link w:val="19"/>
    <w:uiPriority w:val="99"/>
    <w:pPr>
      <w:ind w:left="120" w:right="357" w:firstLine="600"/>
    </w:pPr>
    <w:rPr>
      <w:rFonts w:ascii="仿宋" w:hAnsi="仿宋" w:eastAsia="仿宋" w:cs="仿宋"/>
      <w:sz w:val="30"/>
      <w:szCs w:val="30"/>
      <w:lang w:val="zh-CN"/>
    </w:rPr>
  </w:style>
  <w:style w:type="paragraph" w:styleId="6">
    <w:name w:val="toc 3"/>
    <w:basedOn w:val="1"/>
    <w:next w:val="1"/>
    <w:semiHidden/>
    <w:uiPriority w:val="99"/>
    <w:pPr>
      <w:ind w:left="840" w:leftChars="400"/>
    </w:pPr>
  </w:style>
  <w:style w:type="paragraph" w:styleId="7">
    <w:name w:val="footer"/>
    <w:basedOn w:val="1"/>
    <w:link w:val="20"/>
    <w:uiPriority w:val="99"/>
    <w:pPr>
      <w:tabs>
        <w:tab w:val="center" w:pos="4153"/>
        <w:tab w:val="right" w:pos="8306"/>
      </w:tabs>
    </w:pPr>
    <w:rPr>
      <w:sz w:val="18"/>
      <w:szCs w:val="18"/>
    </w:rPr>
  </w:style>
  <w:style w:type="paragraph" w:styleId="8">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szCs w:val="18"/>
    </w:rPr>
  </w:style>
  <w:style w:type="paragraph" w:styleId="9">
    <w:name w:val="toc 1"/>
    <w:basedOn w:val="1"/>
    <w:next w:val="1"/>
    <w:semiHidden/>
    <w:qFormat/>
    <w:locked/>
    <w:uiPriority w:val="99"/>
    <w:pPr>
      <w:tabs>
        <w:tab w:val="right" w:leader="dot" w:pos="9060"/>
      </w:tabs>
      <w:spacing w:line="348" w:lineRule="auto"/>
      <w:ind w:firstLine="0" w:firstLineChars="0"/>
    </w:pPr>
    <w:rPr>
      <w:rFonts w:ascii="宋体" w:hAnsi="宋体" w:cs="宋体"/>
      <w:b/>
      <w:bCs/>
      <w:kern w:val="44"/>
    </w:rPr>
  </w:style>
  <w:style w:type="paragraph" w:styleId="10">
    <w:name w:val="toc 2"/>
    <w:basedOn w:val="1"/>
    <w:next w:val="1"/>
    <w:qFormat/>
    <w:uiPriority w:val="99"/>
    <w:pPr>
      <w:ind w:left="420" w:leftChars="200" w:firstLine="0" w:firstLineChars="0"/>
    </w:pPr>
  </w:style>
  <w:style w:type="paragraph" w:styleId="11">
    <w:name w:val="Normal (Web)"/>
    <w:basedOn w:val="1"/>
    <w:qFormat/>
    <w:locked/>
    <w:uiPriority w:val="99"/>
    <w:pPr>
      <w:widowControl/>
      <w:spacing w:before="100" w:beforeAutospacing="1" w:after="100" w:afterAutospacing="1"/>
    </w:pPr>
    <w:rPr>
      <w:rFonts w:ascii="宋体" w:hAnsi="宋体" w:cs="宋体"/>
      <w:kern w:val="0"/>
      <w:sz w:val="24"/>
    </w:rPr>
  </w:style>
  <w:style w:type="table" w:styleId="13">
    <w:name w:val="Table Grid"/>
    <w:basedOn w:val="12"/>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locked/>
    <w:uiPriority w:val="99"/>
    <w:rPr>
      <w:rFonts w:cs="Times New Roman"/>
    </w:rPr>
  </w:style>
  <w:style w:type="character" w:styleId="16">
    <w:name w:val="Hyperlink"/>
    <w:basedOn w:val="14"/>
    <w:qFormat/>
    <w:locked/>
    <w:uiPriority w:val="99"/>
    <w:rPr>
      <w:rFonts w:cs="Times New Roman"/>
      <w:color w:val="0000FF"/>
      <w:u w:val="single"/>
    </w:rPr>
  </w:style>
  <w:style w:type="character" w:customStyle="1" w:styleId="17">
    <w:name w:val="Heading 1 Char"/>
    <w:basedOn w:val="14"/>
    <w:link w:val="3"/>
    <w:locked/>
    <w:uiPriority w:val="99"/>
    <w:rPr>
      <w:rFonts w:ascii="Cordia New" w:hAnsi="Cordia New" w:eastAsia="宋体" w:cs="Courier New"/>
      <w:b/>
      <w:bCs/>
      <w:kern w:val="44"/>
      <w:sz w:val="44"/>
      <w:szCs w:val="44"/>
      <w:lang w:bidi="th-TH"/>
    </w:rPr>
  </w:style>
  <w:style w:type="character" w:customStyle="1" w:styleId="18">
    <w:name w:val="Heading 2 Char"/>
    <w:basedOn w:val="14"/>
    <w:link w:val="4"/>
    <w:semiHidden/>
    <w:locked/>
    <w:uiPriority w:val="99"/>
    <w:rPr>
      <w:rFonts w:ascii="Cambria" w:hAnsi="Cambria" w:eastAsia="宋体" w:cs="Cambria"/>
      <w:b/>
      <w:bCs/>
      <w:sz w:val="32"/>
      <w:szCs w:val="32"/>
    </w:rPr>
  </w:style>
  <w:style w:type="character" w:customStyle="1" w:styleId="19">
    <w:name w:val="Body Text Char"/>
    <w:basedOn w:val="14"/>
    <w:link w:val="5"/>
    <w:semiHidden/>
    <w:locked/>
    <w:uiPriority w:val="99"/>
    <w:rPr>
      <w:rFonts w:ascii="Courier New" w:hAnsi="Courier New" w:eastAsia="宋体" w:cs="Courier New"/>
      <w:sz w:val="28"/>
      <w:szCs w:val="28"/>
    </w:rPr>
  </w:style>
  <w:style w:type="character" w:customStyle="1" w:styleId="20">
    <w:name w:val="Footer Char"/>
    <w:basedOn w:val="14"/>
    <w:link w:val="7"/>
    <w:semiHidden/>
    <w:locked/>
    <w:uiPriority w:val="99"/>
    <w:rPr>
      <w:rFonts w:ascii="Courier New" w:hAnsi="Courier New" w:eastAsia="宋体" w:cs="Courier New"/>
      <w:sz w:val="18"/>
      <w:szCs w:val="18"/>
    </w:rPr>
  </w:style>
  <w:style w:type="character" w:customStyle="1" w:styleId="21">
    <w:name w:val="Header Char"/>
    <w:basedOn w:val="14"/>
    <w:link w:val="8"/>
    <w:semiHidden/>
    <w:qFormat/>
    <w:locked/>
    <w:uiPriority w:val="99"/>
    <w:rPr>
      <w:rFonts w:ascii="Courier New" w:hAnsi="Courier New" w:eastAsia="宋体" w:cs="Courier New"/>
      <w:sz w:val="18"/>
      <w:szCs w:val="18"/>
    </w:rPr>
  </w:style>
  <w:style w:type="paragraph" w:styleId="22">
    <w:name w:val="List Paragraph"/>
    <w:basedOn w:val="1"/>
    <w:qFormat/>
    <w:uiPriority w:val="99"/>
    <w:pPr>
      <w:ind w:left="120" w:firstLine="600"/>
    </w:pPr>
    <w:rPr>
      <w:rFonts w:ascii="仿宋" w:hAnsi="仿宋" w:eastAsia="仿宋" w:cs="仿宋"/>
      <w:lang w:val="zh-CN"/>
    </w:rPr>
  </w:style>
  <w:style w:type="paragraph" w:customStyle="1" w:styleId="23">
    <w:name w:val="Char Char Char Char Char Char Char Char Char1 Char Char Char Char Char Char Char Char Char Char Char Char Char Char Char Char Char Char Char Char Char Char"/>
    <w:basedOn w:val="3"/>
    <w:qFormat/>
    <w:uiPriority w:val="99"/>
    <w:pPr>
      <w:keepNext/>
      <w:keepLines/>
      <w:adjustRightInd/>
      <w:spacing w:before="240" w:after="240" w:line="348" w:lineRule="auto"/>
      <w:ind w:firstLine="880" w:firstLineChars="200"/>
      <w:jc w:val="both"/>
    </w:pPr>
    <w:rPr>
      <w:rFonts w:ascii="Times New Roman" w:hAnsi="Times New Roman" w:cs="Times New Roman"/>
      <w:b w:val="0"/>
      <w:bCs w:val="0"/>
      <w:kern w:val="44"/>
      <w:lang w:val="en-US" w:bidi="ar-SA"/>
    </w:rPr>
  </w:style>
  <w:style w:type="paragraph" w:customStyle="1" w:styleId="24">
    <w:name w:val="Char Char Char Char Char Char1 Char Char Char Char Char Char Char Char Char5 Char Char Char Char"/>
    <w:basedOn w:val="1"/>
    <w:qFormat/>
    <w:uiPriority w:val="99"/>
    <w:pPr>
      <w:adjustRightInd/>
      <w:snapToGrid/>
      <w:spacing w:line="240" w:lineRule="auto"/>
      <w:jc w:val="both"/>
    </w:pPr>
    <w:rPr>
      <w:rFonts w:ascii="Times New Roman" w:hAnsi="Times New Roman" w:cs="Times New Roman"/>
      <w:sz w:val="21"/>
      <w:szCs w:val="21"/>
    </w:rPr>
  </w:style>
  <w:style w:type="paragraph" w:customStyle="1" w:styleId="25">
    <w:name w:val="表格"/>
    <w:basedOn w:val="1"/>
    <w:qFormat/>
    <w:uiPriority w:val="99"/>
    <w:pPr>
      <w:spacing w:line="240" w:lineRule="auto"/>
      <w:ind w:firstLine="0" w:firstLineChars="0"/>
    </w:pPr>
    <w:rPr>
      <w:rFonts w:cs="Times New Roman"/>
      <w:sz w:val="21"/>
      <w:szCs w:val="21"/>
    </w:rPr>
  </w:style>
  <w:style w:type="paragraph" w:customStyle="1" w:styleId="26">
    <w:name w:val="表头"/>
    <w:basedOn w:val="5"/>
    <w:uiPriority w:val="99"/>
    <w:pPr>
      <w:ind w:left="119" w:firstLine="0" w:firstLineChars="0"/>
      <w:jc w:val="center"/>
    </w:pPr>
    <w:rPr>
      <w:rFonts w:eastAsia="宋体"/>
      <w:b/>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34</Pages>
  <Words>3184</Words>
  <Characters>18154</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2019-09-23T13:00:00Z</dcterms:created>
  <dc:creator>乜汻魭蛋呿</dc:creator>
  <cp:lastModifiedBy>Administrator</cp:lastModifiedBy>
  <cp:lastPrinted>2020-07-13T01:50:00Z</cp:lastPrinted>
  <dcterms:modified xsi:type="dcterms:W3CDTF">2021-07-29T00:27:53Z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